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1747A8" w:rsidP="001747A8" w14:paraId="1B932CA4" w14:textId="77777777">
      <w:pPr>
        <w:jc w:val="center"/>
        <w:rPr>
          <w:b/>
        </w:rPr>
      </w:pPr>
      <w:r w:rsidRPr="0070224F">
        <w:rPr>
          <w:rFonts w:ascii="Times New Roman Bold" w:hAnsi="Times New Roman Bold"/>
          <w:b/>
          <w:kern w:val="0"/>
          <w:szCs w:val="22"/>
        </w:rPr>
        <w:t>Before</w:t>
      </w:r>
      <w:r>
        <w:rPr>
          <w:b/>
        </w:rPr>
        <w:t xml:space="preserve"> the</w:t>
      </w:r>
    </w:p>
    <w:p w:rsidR="001747A8" w:rsidP="001747A8" w14:paraId="78245782" w14:textId="77777777">
      <w:pPr>
        <w:pStyle w:val="StyleBoldCentered"/>
      </w:pPr>
      <w:r>
        <w:t>F</w:t>
      </w:r>
      <w:r>
        <w:rPr>
          <w:caps w:val="0"/>
        </w:rPr>
        <w:t>ederal Communications Commission</w:t>
      </w:r>
    </w:p>
    <w:p w:rsidR="001747A8" w:rsidP="001747A8" w14:paraId="253DFE74" w14:textId="77777777">
      <w:pPr>
        <w:pStyle w:val="StyleBoldCentered"/>
      </w:pPr>
      <w:r>
        <w:rPr>
          <w:caps w:val="0"/>
        </w:rPr>
        <w:t>Washington, D.C. 20554</w:t>
      </w:r>
    </w:p>
    <w:p w:rsidR="001747A8" w:rsidP="001747A8" w14:paraId="4D2594C1" w14:textId="77777777"/>
    <w:tbl>
      <w:tblPr>
        <w:tblW w:w="5000" w:type="pct"/>
        <w:tblLook w:val="04A0"/>
      </w:tblPr>
      <w:tblGrid>
        <w:gridCol w:w="4788"/>
        <w:gridCol w:w="4788"/>
      </w:tblGrid>
      <w:tr w14:paraId="58F7567F" w14:textId="77777777">
        <w:tblPrEx>
          <w:tblW w:w="5000" w:type="pct"/>
          <w:tblLook w:val="04A0"/>
        </w:tblPrEx>
        <w:trPr>
          <w:cantSplit/>
        </w:trPr>
        <w:tc>
          <w:tcPr>
            <w:tcW w:w="2500" w:type="pct"/>
            <w:tcBorders>
              <w:right w:val="single" w:sz="4" w:space="0" w:color="auto"/>
            </w:tcBorders>
          </w:tcPr>
          <w:p w:rsidR="00DD4BCF" w:rsidRPr="006200B7" w:rsidP="00C744F1" w14:paraId="4F558807" w14:textId="77777777">
            <w:pPr>
              <w:tabs>
                <w:tab w:val="center" w:pos="4680"/>
              </w:tabs>
              <w:suppressAutoHyphens/>
              <w:rPr>
                <w:snapToGrid/>
                <w:spacing w:val="-2"/>
              </w:rPr>
            </w:pPr>
            <w:r w:rsidRPr="006200B7">
              <w:rPr>
                <w:snapToGrid/>
                <w:spacing w:val="-2"/>
              </w:rPr>
              <w:t>In the Matter of</w:t>
            </w:r>
          </w:p>
          <w:p w:rsidR="00DD4BCF" w:rsidRPr="006200B7" w:rsidP="00C744F1" w14:paraId="1F506191" w14:textId="77777777">
            <w:pPr>
              <w:tabs>
                <w:tab w:val="center" w:pos="4680"/>
              </w:tabs>
              <w:suppressAutoHyphens/>
              <w:rPr>
                <w:snapToGrid/>
                <w:spacing w:val="-2"/>
              </w:rPr>
            </w:pPr>
          </w:p>
          <w:p w:rsidR="00DD4BCF" w:rsidP="00C744F1" w14:paraId="632365C7" w14:textId="0F69E3EC">
            <w:pPr>
              <w:tabs>
                <w:tab w:val="center" w:pos="4680"/>
              </w:tabs>
              <w:suppressAutoHyphens/>
              <w:rPr>
                <w:snapToGrid/>
                <w:spacing w:val="-2"/>
              </w:rPr>
            </w:pPr>
            <w:r w:rsidRPr="00DD4BCF">
              <w:rPr>
                <w:snapToGrid/>
                <w:spacing w:val="-2"/>
              </w:rPr>
              <w:t xml:space="preserve">Telecommunications Relay Services and Speech-to-Speech Services for Individuals with Hearing and Speech Disabilities </w:t>
            </w:r>
          </w:p>
          <w:p w:rsidR="00DD4BCF" w:rsidRPr="006200B7" w:rsidP="00C744F1" w14:paraId="4F1B03AC" w14:textId="77777777">
            <w:pPr>
              <w:tabs>
                <w:tab w:val="center" w:pos="4680"/>
              </w:tabs>
              <w:suppressAutoHyphens/>
              <w:rPr>
                <w:snapToGrid/>
                <w:spacing w:val="-2"/>
              </w:rPr>
            </w:pPr>
          </w:p>
          <w:p w:rsidR="00DD4BCF" w:rsidP="00C744F1" w14:paraId="6004775B" w14:textId="77777777">
            <w:pPr>
              <w:pStyle w:val="SubjectMatterIntro-Left"/>
            </w:pPr>
            <w:r w:rsidRPr="006200B7">
              <w:rPr>
                <w:spacing w:val="-2"/>
              </w:rPr>
              <w:t>Delete, Delete, Delete</w:t>
            </w:r>
          </w:p>
        </w:tc>
        <w:tc>
          <w:tcPr>
            <w:tcW w:w="2500" w:type="pct"/>
          </w:tcPr>
          <w:p w:rsidR="00DD4BCF" w:rsidP="00C744F1" w14:paraId="2663C5C3" w14:textId="77777777">
            <w:pPr>
              <w:pStyle w:val="SubjectMatterIntro-Right"/>
            </w:pPr>
          </w:p>
          <w:p w:rsidR="00DD4BCF" w:rsidP="00C744F1" w14:paraId="5CA68C4D" w14:textId="32DE0B4F">
            <w:pPr>
              <w:pStyle w:val="SubjectMatterIntro-Right"/>
            </w:pPr>
            <w:r w:rsidRPr="00CF5208">
              <w:t xml:space="preserve">CG Docket No. </w:t>
            </w:r>
            <w:r>
              <w:t>03-123</w:t>
            </w:r>
          </w:p>
          <w:p w:rsidR="00DD4BCF" w:rsidP="00C744F1" w14:paraId="6AB18A01" w14:textId="77777777">
            <w:pPr>
              <w:pStyle w:val="SubjectMatterIntro-Right"/>
            </w:pPr>
          </w:p>
          <w:p w:rsidR="00DD4BCF" w:rsidRPr="009E4814" w:rsidP="00C744F1" w14:paraId="60B69ECF" w14:textId="7753F381">
            <w:pPr>
              <w:pStyle w:val="SubjectMatterIntro-Right"/>
            </w:pPr>
            <w:r w:rsidRPr="00CF5208">
              <w:t>GN Docket No. 25-133</w:t>
            </w:r>
          </w:p>
        </w:tc>
      </w:tr>
    </w:tbl>
    <w:p w:rsidR="00DD4BCF" w:rsidP="001747A8" w14:paraId="6FC0B7BC" w14:textId="77777777"/>
    <w:p w:rsidR="001747A8" w:rsidP="001747A8" w14:paraId="35C8A0BB" w14:textId="77777777">
      <w:pPr>
        <w:pStyle w:val="StyleBoldCentered"/>
      </w:pPr>
      <w:r>
        <w:t>Report and Order</w:t>
      </w:r>
    </w:p>
    <w:p w:rsidR="001747A8" w:rsidP="001747A8" w14:paraId="6CCAFFFF" w14:textId="77777777">
      <w:pPr>
        <w:tabs>
          <w:tab w:val="left" w:pos="-720"/>
        </w:tabs>
        <w:suppressAutoHyphens/>
        <w:spacing w:line="227" w:lineRule="auto"/>
        <w:rPr>
          <w:spacing w:val="-2"/>
        </w:rPr>
      </w:pPr>
    </w:p>
    <w:p w:rsidR="001747A8" w:rsidP="001747A8" w14:paraId="42CBC037" w14:textId="1877A4CB">
      <w:pPr>
        <w:tabs>
          <w:tab w:val="left" w:pos="720"/>
          <w:tab w:val="right" w:pos="9360"/>
        </w:tabs>
        <w:suppressAutoHyphens/>
        <w:spacing w:line="227" w:lineRule="auto"/>
        <w:rPr>
          <w:spacing w:val="-2"/>
        </w:rPr>
      </w:pPr>
      <w:r>
        <w:rPr>
          <w:b/>
          <w:spacing w:val="-2"/>
        </w:rPr>
        <w:t xml:space="preserve">Adopted:  </w:t>
      </w:r>
      <w:r w:rsidR="00C3179E">
        <w:rPr>
          <w:b/>
          <w:spacing w:val="-2"/>
        </w:rPr>
        <w:t>August 21, 2026</w:t>
      </w:r>
      <w:r w:rsidRPr="002135F4">
        <w:rPr>
          <w:b/>
          <w:spacing w:val="-2"/>
        </w:rPr>
        <w:tab/>
        <w:t xml:space="preserve">Released:  </w:t>
      </w:r>
      <w:r w:rsidR="00BB54AA">
        <w:rPr>
          <w:b/>
          <w:spacing w:val="-2"/>
        </w:rPr>
        <w:t>August 25, 2026</w:t>
      </w:r>
    </w:p>
    <w:p w:rsidR="001747A8" w:rsidP="001747A8" w14:paraId="1D99CB16" w14:textId="77777777"/>
    <w:p w:rsidR="001747A8" w:rsidP="001747A8" w14:paraId="0CE0B959" w14:textId="39215731">
      <w:r w:rsidRPr="00E55586">
        <w:t>By the Commission: Chairman Carr issuing a statement.</w:t>
      </w:r>
    </w:p>
    <w:p w:rsidR="00E55586" w:rsidP="001747A8" w14:paraId="11617C03" w14:textId="77777777">
      <w:pPr>
        <w:rPr>
          <w:spacing w:val="-2"/>
        </w:rPr>
      </w:pPr>
    </w:p>
    <w:p w:rsidR="001747A8" w:rsidP="001747A8" w14:paraId="2433403C" w14:textId="77777777">
      <w:pPr>
        <w:pStyle w:val="Heading1"/>
      </w:pPr>
      <w:r>
        <w:t>Introduction</w:t>
      </w:r>
    </w:p>
    <w:p w:rsidR="001747A8" w:rsidP="001747A8" w14:paraId="5D33FA6A" w14:textId="77777777">
      <w:pPr>
        <w:pStyle w:val="ParaNum"/>
      </w:pPr>
      <w:r w:rsidRPr="00C25F7F">
        <w:t>In this Report and Order, the Federal Communications Commission (Commission) amends its rules to eliminate the requirement that traditional, Text Telephone (TTY)-based telecommunications relay services (TRS) be capable of communicating in the American Standard Code for Information Interchange (ASCII) format.</w:t>
      </w:r>
      <w:r>
        <w:rPr>
          <w:rStyle w:val="StyleFootnoteReference"/>
        </w:rPr>
        <w:footnoteReference w:id="3"/>
      </w:r>
      <w:r w:rsidRPr="00C25F7F">
        <w:t xml:space="preserve"> </w:t>
      </w:r>
      <w:r>
        <w:t xml:space="preserve"> </w:t>
      </w:r>
      <w:r w:rsidRPr="00C25F7F">
        <w:t xml:space="preserve">By removing this outdated regulatory mandate, we relieve TRS providers of the obligation to maintain costly and obsolete ASCII-compatible hardware and software systems. </w:t>
      </w:r>
      <w:r>
        <w:t xml:space="preserve"> E</w:t>
      </w:r>
      <w:r w:rsidRPr="00C25F7F">
        <w:t>liminating this requirement will reduce inefficiencies, preserve the integrity of the TRS Fund, and allow providers to redirect resources toward modern relay technologies, all without adversely impacting functional equivalence for consumers who rely on TTY-based TRS.</w:t>
      </w:r>
    </w:p>
    <w:p w:rsidR="001747A8" w:rsidP="001747A8" w14:paraId="2E1A8C53" w14:textId="77777777">
      <w:pPr>
        <w:pStyle w:val="Heading1"/>
      </w:pPr>
      <w:r>
        <w:t>BACKGROUND</w:t>
      </w:r>
    </w:p>
    <w:p w:rsidR="001747A8" w:rsidP="001747A8" w14:paraId="4B86217F" w14:textId="77777777">
      <w:pPr>
        <w:pStyle w:val="ParaNum"/>
      </w:pPr>
      <w:r w:rsidRPr="00BE2E43">
        <w:t>Title IV of the Americans with Disabilities Act of 1990 (ADA), codified at section 225 of the Communications Act, requires the Commission to ensure that TRS is available "to the extent possible and in the most efficient manner" to enable people with hearing or speech disabilities to communicate in a manner that is functionally equivalent to voice communication service.</w:t>
      </w:r>
      <w:r>
        <w:rPr>
          <w:rStyle w:val="StyleFootnoteReference"/>
        </w:rPr>
        <w:footnoteReference w:id="4"/>
      </w:r>
      <w:r w:rsidRPr="00BE2E43">
        <w:t xml:space="preserve"> </w:t>
      </w:r>
      <w:r>
        <w:t xml:space="preserve"> </w:t>
      </w:r>
      <w:r w:rsidRPr="00BE2E43">
        <w:t>In accordance with this directive, the Commission has adopted mandatory minimum standards for TRS.</w:t>
      </w:r>
      <w:r>
        <w:rPr>
          <w:rStyle w:val="StyleFootnoteReference"/>
        </w:rPr>
        <w:footnoteReference w:id="5"/>
      </w:r>
    </w:p>
    <w:p w:rsidR="001747A8" w:rsidP="001747A8" w14:paraId="73BFDAB4" w14:textId="77777777">
      <w:pPr>
        <w:pStyle w:val="ParaNum"/>
      </w:pPr>
      <w:r>
        <w:t>Before 2000, relay services were limited to converting voice communication to text, and vice versa, and were provided via analog telephone networks, with the text being transmitted using a TTY or TTY-compatible device</w:t>
      </w:r>
      <w:r w:rsidRPr="00620EDB">
        <w:t>.</w:t>
      </w:r>
      <w:r>
        <w:rPr>
          <w:rStyle w:val="StyleFootnoteReference"/>
        </w:rPr>
        <w:footnoteReference w:id="6"/>
      </w:r>
      <w:r w:rsidRPr="00620EDB">
        <w:t xml:space="preserve">  To make a </w:t>
      </w:r>
      <w:r>
        <w:t xml:space="preserve">TTY-based TRS </w:t>
      </w:r>
      <w:r w:rsidRPr="00620EDB">
        <w:t xml:space="preserve">call, a TTY user calls a TRS relay center and types the number of the person he or she wishes to call.  A Communications Assistant (CA) at the relay center then makes a voice telephone call to the other party to the </w:t>
      </w:r>
      <w:r w:rsidRPr="00301E12">
        <w:t xml:space="preserve">call </w:t>
      </w:r>
      <w:r w:rsidRPr="00620EDB">
        <w:t>and relays the call back and forth between the parties by speaking what a text user types, and typing what a voice telephone user speaks.</w:t>
      </w:r>
      <w:r>
        <w:rPr>
          <w:rStyle w:val="StyleFootnoteReference"/>
        </w:rPr>
        <w:footnoteReference w:id="7"/>
      </w:r>
    </w:p>
    <w:p w:rsidR="001747A8" w:rsidP="001747A8" w14:paraId="223615DE" w14:textId="77777777">
      <w:pPr>
        <w:pStyle w:val="ParaNum"/>
      </w:pPr>
      <w:r w:rsidRPr="00BE2E43">
        <w:t>At that time, TTYs generally used the Baudot coding format, but the ASCII format was widely used to transmit data between personal computers over the telephone network.</w:t>
      </w:r>
      <w:r>
        <w:rPr>
          <w:rStyle w:val="StyleFootnoteReference"/>
        </w:rPr>
        <w:footnoteReference w:id="8"/>
      </w:r>
      <w:r w:rsidRPr="00BE2E43">
        <w:t xml:space="preserve"> </w:t>
      </w:r>
      <w:r>
        <w:t xml:space="preserve"> </w:t>
      </w:r>
      <w:r w:rsidRPr="00BE2E43">
        <w:t>The Commission, believing that ASCII was "a superior technology" that would eventually supplant Baudot as the preferred format, required that TRS be able to transmit in both ASCII and Baudot at any speed generally in use.</w:t>
      </w:r>
      <w:r>
        <w:rPr>
          <w:rStyle w:val="StyleFootnoteReference"/>
        </w:rPr>
        <w:footnoteReference w:id="9"/>
      </w:r>
      <w:r>
        <w:t xml:space="preserve">  </w:t>
      </w:r>
      <w:r w:rsidRPr="007048BC">
        <w:t xml:space="preserve">Over the last three decades, technological advancements have revolutionized the TRS landscape, and introduced forms of non-TTY-based TRS </w:t>
      </w:r>
      <w:r>
        <w:t xml:space="preserve">that do not rely on the </w:t>
      </w:r>
      <w:r w:rsidRPr="00FA0645">
        <w:t>ASCII and Baudot</w:t>
      </w:r>
      <w:r>
        <w:t xml:space="preserve"> formats to transmit information</w:t>
      </w:r>
      <w:r w:rsidRPr="00FA0645">
        <w:t>.</w:t>
      </w:r>
      <w:r w:rsidRPr="00681C5F">
        <w:rPr>
          <w:rStyle w:val="StyleFootnoteReference"/>
        </w:rPr>
        <w:t xml:space="preserve"> </w:t>
      </w:r>
      <w:r>
        <w:rPr>
          <w:rStyle w:val="StyleFootnoteReference"/>
        </w:rPr>
        <w:footnoteReference w:id="10"/>
      </w:r>
      <w:r w:rsidRPr="00FA0645">
        <w:t xml:space="preserve"> </w:t>
      </w:r>
      <w:r>
        <w:t xml:space="preserve"> </w:t>
      </w:r>
    </w:p>
    <w:p w:rsidR="001747A8" w:rsidP="001747A8" w14:paraId="0FF19D79" w14:textId="77777777">
      <w:pPr>
        <w:pStyle w:val="ParaNum"/>
      </w:pPr>
      <w:r w:rsidRPr="00F36968">
        <w:t xml:space="preserve">Baudot remains the predominant TTY-based TRS format, currently accounting </w:t>
      </w:r>
      <w:r w:rsidRPr="00FA0645">
        <w:t xml:space="preserve">for </w:t>
      </w:r>
      <w:r>
        <w:t>almost</w:t>
      </w:r>
      <w:r w:rsidRPr="00FA0645">
        <w:t xml:space="preserve"> all TTY-based </w:t>
      </w:r>
      <w:r>
        <w:t xml:space="preserve">TRS </w:t>
      </w:r>
      <w:r w:rsidRPr="00FA0645">
        <w:t>communications.</w:t>
      </w:r>
      <w:r>
        <w:rPr>
          <w:rStyle w:val="StyleFootnoteReference"/>
        </w:rPr>
        <w:footnoteReference w:id="11"/>
      </w:r>
      <w:r w:rsidRPr="00B05070">
        <w:t xml:space="preserve"> </w:t>
      </w:r>
      <w:r>
        <w:t xml:space="preserve"> </w:t>
      </w:r>
      <w:r w:rsidRPr="007915B5">
        <w:t xml:space="preserve">Recognizing the obsolescence of the ASCII format, T-Mobile Accessibility (T-Mobile) filed a Petition for Rulemaking in August 2022, </w:t>
      </w:r>
      <w:r>
        <w:t xml:space="preserve">requesting </w:t>
      </w:r>
      <w:r w:rsidRPr="007915B5">
        <w:t>the Commission to amend section 64.604(b)(1) to eliminate the ASCII requirement.</w:t>
      </w:r>
      <w:r>
        <w:rPr>
          <w:rStyle w:val="StyleFootnoteReference"/>
        </w:rPr>
        <w:footnoteReference w:id="12"/>
      </w:r>
      <w:r w:rsidRPr="007915B5">
        <w:t xml:space="preserve"> </w:t>
      </w:r>
      <w:r>
        <w:t xml:space="preserve"> </w:t>
      </w:r>
      <w:r w:rsidRPr="007915B5">
        <w:t>T-Mobile noted that ASCII-based TTY calls represent a tiny fraction of its overall TRS call minutes, and that complying with the requirement forces providers to incur unnecessary hardware costs and hinders network upgrades.</w:t>
      </w:r>
      <w:r>
        <w:rPr>
          <w:rStyle w:val="StyleFootnoteReference"/>
        </w:rPr>
        <w:footnoteReference w:id="13"/>
      </w:r>
      <w:r w:rsidRPr="007915B5">
        <w:t xml:space="preserve"> </w:t>
      </w:r>
      <w:r>
        <w:t xml:space="preserve"> </w:t>
      </w:r>
      <w:r w:rsidRPr="007915B5">
        <w:t>This petition received support from Hamilton Relay, Inc. (Hamilton) and a coalition of accessibility advocacy and research organizations (AARO).</w:t>
      </w:r>
      <w:r>
        <w:rPr>
          <w:rStyle w:val="StyleFootnoteReference"/>
        </w:rPr>
        <w:footnoteReference w:id="14"/>
      </w:r>
      <w:r w:rsidRPr="007915B5">
        <w:t xml:space="preserve"> </w:t>
      </w:r>
      <w:r>
        <w:t xml:space="preserve"> </w:t>
      </w:r>
      <w:r w:rsidRPr="007915B5">
        <w:t>Following a June 2023 request from T-Mobile for a temporary waiver of the rule, the Consumer and Governmental Affairs Bureau (Bureau) granted a conditional two-year waiver of the ASCII requirement to T-Mobile and Hamilton on November 22, 2024.</w:t>
      </w:r>
      <w:r>
        <w:rPr>
          <w:rStyle w:val="StyleFootnoteReference"/>
        </w:rPr>
        <w:footnoteReference w:id="15"/>
      </w:r>
    </w:p>
    <w:p w:rsidR="001747A8" w:rsidP="001747A8" w14:paraId="4332EACC" w14:textId="77777777">
      <w:pPr>
        <w:pStyle w:val="ParaNum"/>
      </w:pPr>
      <w:r w:rsidRPr="008628FB">
        <w:t>On June 27, 2025, the Commission released a Notice of Proposed Rulemaking (</w:t>
      </w:r>
      <w:r>
        <w:t>Notice</w:t>
      </w:r>
      <w:r w:rsidRPr="008628FB">
        <w:t>) proposing to permanently delete the ASCII requirement from section 64.604(b)(1).</w:t>
      </w:r>
      <w:r>
        <w:rPr>
          <w:rStyle w:val="StyleFootnoteReference"/>
        </w:rPr>
        <w:footnoteReference w:id="16"/>
      </w:r>
      <w:r w:rsidRPr="008628FB">
        <w:t xml:space="preserve"> </w:t>
      </w:r>
      <w:r>
        <w:t xml:space="preserve"> C</w:t>
      </w:r>
      <w:r w:rsidRPr="008628FB">
        <w:t>omments and reply comments</w:t>
      </w:r>
      <w:r>
        <w:t xml:space="preserve"> were submitted</w:t>
      </w:r>
      <w:r w:rsidRPr="008628FB">
        <w:t xml:space="preserve"> </w:t>
      </w:r>
      <w:r>
        <w:t xml:space="preserve">by TTY-based relay </w:t>
      </w:r>
      <w:r w:rsidRPr="008628FB">
        <w:t xml:space="preserve">providers and consumer advocacy organizations, which support the elimination of the </w:t>
      </w:r>
      <w:r>
        <w:t>ASCII requirement</w:t>
      </w:r>
      <w:r w:rsidRPr="008628FB">
        <w:t>.</w:t>
      </w:r>
      <w:r>
        <w:rPr>
          <w:rStyle w:val="StyleFootnoteReference"/>
        </w:rPr>
        <w:footnoteReference w:id="17"/>
      </w:r>
    </w:p>
    <w:p w:rsidR="001747A8" w:rsidP="001747A8" w14:paraId="136664A9" w14:textId="77777777">
      <w:pPr>
        <w:pStyle w:val="Heading1"/>
      </w:pPr>
      <w:r>
        <w:t xml:space="preserve">Discussion </w:t>
      </w:r>
    </w:p>
    <w:p w:rsidR="001747A8" w:rsidP="001747A8" w14:paraId="5A3064FC" w14:textId="77777777">
      <w:pPr>
        <w:pStyle w:val="Heading2"/>
      </w:pPr>
      <w:r>
        <w:t>Elimination of the ASCII Requirement</w:t>
      </w:r>
    </w:p>
    <w:p w:rsidR="001747A8" w:rsidP="001747A8" w14:paraId="0D9EFD3A" w14:textId="77777777">
      <w:pPr>
        <w:pStyle w:val="ParaNum"/>
      </w:pPr>
      <w:r>
        <w:t>W</w:t>
      </w:r>
      <w:r w:rsidRPr="0070588C">
        <w:t xml:space="preserve">e adopt our proposal to </w:t>
      </w:r>
      <w:r w:rsidRPr="00EF4694">
        <w:t xml:space="preserve">delete the </w:t>
      </w:r>
      <w:r w:rsidRPr="002E61EB">
        <w:t xml:space="preserve">requirement in section 64.604(b)(1) </w:t>
      </w:r>
      <w:r w:rsidRPr="00EF4694">
        <w:t xml:space="preserve">of the Commission’s rules that TTY-based </w:t>
      </w:r>
      <w:r>
        <w:t>TRS</w:t>
      </w:r>
      <w:r w:rsidRPr="00EF4694">
        <w:t xml:space="preserve"> support the ASCII format.</w:t>
      </w:r>
      <w:r>
        <w:rPr>
          <w:rStyle w:val="StyleFootnoteReference"/>
        </w:rPr>
        <w:footnoteReference w:id="18"/>
      </w:r>
      <w:r>
        <w:t xml:space="preserve">  We also find good cause to eliminate the definition of ASCII from the Commission’s TRS rules.</w:t>
      </w:r>
      <w:r>
        <w:rPr>
          <w:rStyle w:val="StyleFootnoteReference"/>
        </w:rPr>
        <w:footnoteReference w:id="19"/>
      </w:r>
      <w:r>
        <w:t xml:space="preserve">  </w:t>
      </w:r>
      <w:r w:rsidRPr="00330036">
        <w:t xml:space="preserve">The </w:t>
      </w:r>
      <w:r w:rsidRPr="00EF4694">
        <w:t xml:space="preserve">record confirms that ASCII usage for TTY-based TRS is exceedingly small and </w:t>
      </w:r>
      <w:r w:rsidRPr="00D25D06">
        <w:t xml:space="preserve">continues </w:t>
      </w:r>
      <w:r w:rsidRPr="00EF4694">
        <w:t xml:space="preserve">to shrink. </w:t>
      </w:r>
      <w:r>
        <w:t xml:space="preserve"> </w:t>
      </w:r>
      <w:r w:rsidRPr="00EF4694">
        <w:t xml:space="preserve">Data provided in the </w:t>
      </w:r>
      <w:r>
        <w:t>Notice</w:t>
      </w:r>
      <w:r w:rsidRPr="00EF4694">
        <w:t xml:space="preserve"> indicated that in a three-month period in 2022, total ASCII usage of TTY-based TRS did not exceed 87 minutes, representing approximately 0.01 percent of total TTY-based TRS minutes.</w:t>
      </w:r>
      <w:r>
        <w:rPr>
          <w:rStyle w:val="StyleFootnoteReference"/>
        </w:rPr>
        <w:footnoteReference w:id="20"/>
      </w:r>
      <w:r>
        <w:t xml:space="preserve">  Following waiver of the ASCII requirement</w:t>
      </w:r>
      <w:r>
        <w:t xml:space="preserve"> </w:t>
      </w:r>
      <w:r>
        <w:t>in November 2024, one TTY-based TRS provider reports that it has not had a single request to have ASCII made available</w:t>
      </w:r>
      <w:r>
        <w:rPr>
          <w:rStyle w:val="StyleFootnoteReference"/>
        </w:rPr>
        <w:footnoteReference w:id="21"/>
      </w:r>
      <w:r>
        <w:t xml:space="preserve"> and the Commission has not received any inquiries or complaints from consumers regarding the availability of the ASCII-format. </w:t>
      </w:r>
    </w:p>
    <w:p w:rsidR="001747A8" w:rsidP="001747A8" w14:paraId="27656034" w14:textId="6EB2BBFC">
      <w:pPr>
        <w:pStyle w:val="ParaNum"/>
      </w:pPr>
      <w:r>
        <w:t xml:space="preserve">Furthermore, </w:t>
      </w:r>
      <w:r w:rsidRPr="00642B68">
        <w:t xml:space="preserve">we conclude that there </w:t>
      </w:r>
      <w:r>
        <w:t>is no prospect of a resurgence in ASCII usage.  Stakeholders, including the Telecommunications Equipment Distribution Program Association (TEDPA) and the National Association of State Relay Administrators (NASRA), point out that ASCII equipment is no longer commercially available, functional units are increasingly difficult to locate, and the format is incompatible with modern telephone networks.</w:t>
      </w:r>
      <w:r>
        <w:rPr>
          <w:rStyle w:val="StyleFootnoteReference"/>
        </w:rPr>
        <w:footnoteReference w:id="22"/>
      </w:r>
      <w:r>
        <w:t xml:space="preserve">  Because of these realities, the record reflects unanimous support for the rule's elimination from both providers and consumer advocacy groups, including Disability Belongs and AARO, </w:t>
      </w:r>
      <w:r w:rsidR="56BAB034">
        <w:t xml:space="preserve">that </w:t>
      </w:r>
      <w:r>
        <w:t>acknowledge the technology is obsolete.</w:t>
      </w:r>
      <w:r>
        <w:rPr>
          <w:rStyle w:val="StyleFootnoteReference"/>
        </w:rPr>
        <w:footnoteReference w:id="23"/>
      </w:r>
    </w:p>
    <w:p w:rsidR="001747A8" w:rsidP="001747A8" w14:paraId="77288553" w14:textId="515839B5">
      <w:pPr>
        <w:pStyle w:val="ParaNum"/>
      </w:pPr>
      <w:r>
        <w:t>W</w:t>
      </w:r>
      <w:r w:rsidRPr="00674F18">
        <w:t xml:space="preserve">e </w:t>
      </w:r>
      <w:r w:rsidRPr="006A5D71">
        <w:t xml:space="preserve">also delete the second sentence of 47 CFR § 64.604(b)(1), which currently states: </w:t>
      </w:r>
      <w:r>
        <w:t>“</w:t>
      </w:r>
      <w:r w:rsidRPr="006A5D71">
        <w:t>Other forms of TRS are not subject to this requirement.</w:t>
      </w:r>
      <w:r>
        <w:t>”</w:t>
      </w:r>
      <w:r>
        <w:rPr>
          <w:rStyle w:val="StyleFootnoteReference"/>
        </w:rPr>
        <w:footnoteReference w:id="24"/>
      </w:r>
      <w:r w:rsidRPr="006A5D71">
        <w:t xml:space="preserve"> </w:t>
      </w:r>
      <w:r>
        <w:t xml:space="preserve"> </w:t>
      </w:r>
      <w:r w:rsidRPr="006A5D71">
        <w:t xml:space="preserve">As noted in the </w:t>
      </w:r>
      <w:r>
        <w:t>Notice</w:t>
      </w:r>
      <w:r w:rsidRPr="006A5D71">
        <w:t xml:space="preserve">, because the first sentence of the revised provision explicitly makes clear that the Baudot rule applies only to </w:t>
      </w:r>
      <w:r>
        <w:t>“</w:t>
      </w:r>
      <w:r w:rsidRPr="006A5D71">
        <w:t>TTY-based relay service,</w:t>
      </w:r>
      <w:r>
        <w:t>”</w:t>
      </w:r>
      <w:r w:rsidRPr="006A5D71">
        <w:t xml:space="preserve"> the second sentence is unnecessary surplusage.</w:t>
      </w:r>
      <w:r>
        <w:rPr>
          <w:rStyle w:val="StyleFootnoteReference"/>
        </w:rPr>
        <w:footnoteReference w:id="25"/>
      </w:r>
      <w:r w:rsidRPr="006A5D71">
        <w:t xml:space="preserve"> </w:t>
      </w:r>
      <w:r>
        <w:t xml:space="preserve"> </w:t>
      </w:r>
      <w:r w:rsidRPr="006A5D71">
        <w:t xml:space="preserve">Hamilton </w:t>
      </w:r>
      <w:r w:rsidR="00B6507A">
        <w:t>supports</w:t>
      </w:r>
      <w:r w:rsidRPr="006A5D71">
        <w:t xml:space="preserve"> this edit in its comments, agreeing that the sentence no longer serves a regulatory purpose.</w:t>
      </w:r>
      <w:r>
        <w:rPr>
          <w:rStyle w:val="StyleFootnoteReference"/>
        </w:rPr>
        <w:footnoteReference w:id="26"/>
      </w:r>
    </w:p>
    <w:p w:rsidR="001747A8" w:rsidP="001747A8" w14:paraId="688FCA92" w14:textId="77777777">
      <w:pPr>
        <w:pStyle w:val="Heading2"/>
      </w:pPr>
      <w:r>
        <w:t>Benefits and Costs</w:t>
      </w:r>
    </w:p>
    <w:p w:rsidR="001747A8" w:rsidP="001747A8" w14:paraId="6F5B21F8" w14:textId="77777777">
      <w:pPr>
        <w:pStyle w:val="ParaNum"/>
      </w:pPr>
      <w:r w:rsidRPr="00E94563">
        <w:t xml:space="preserve">In the </w:t>
      </w:r>
      <w:r>
        <w:t>Notice</w:t>
      </w:r>
      <w:r w:rsidRPr="00E94563">
        <w:t>, we sought comment on the specific costs and benefits of our proposal, including the hardware and network upgrade savings versus the transition costs for any remaining legacy users.</w:t>
      </w:r>
      <w:r>
        <w:rPr>
          <w:rStyle w:val="StyleFootnoteReference"/>
        </w:rPr>
        <w:footnoteReference w:id="27"/>
      </w:r>
      <w:r w:rsidRPr="00E94563">
        <w:t xml:space="preserve"> </w:t>
      </w:r>
      <w:r>
        <w:t xml:space="preserve"> </w:t>
      </w:r>
      <w:r w:rsidRPr="00E94563">
        <w:t>The record affirms our tentative conclusion that the cost savings for TRS providers far outweigh the negligible burdens of transitioning the few, if any, remaining ASCII users.</w:t>
      </w:r>
      <w:r>
        <w:rPr>
          <w:rStyle w:val="StyleFootnoteReference"/>
        </w:rPr>
        <w:footnoteReference w:id="28"/>
      </w:r>
    </w:p>
    <w:p w:rsidR="001747A8" w:rsidP="001747A8" w14:paraId="16332C9E" w14:textId="601BC09B">
      <w:pPr>
        <w:pStyle w:val="ParaNum"/>
      </w:pPr>
      <w:r w:rsidRPr="748E114E">
        <w:rPr>
          <w:i/>
          <w:iCs/>
        </w:rPr>
        <w:t>Benefits.</w:t>
      </w:r>
      <w:r>
        <w:t xml:space="preserve">  Maintaining the ASCII obligation imposes ongoing software and network compatibility costs that yield no consumer benefit and needlessly burden the TRS Fund.</w:t>
      </w:r>
      <w:r>
        <w:rPr>
          <w:rStyle w:val="StyleFootnoteReference"/>
        </w:rPr>
        <w:footnoteReference w:id="29"/>
      </w:r>
      <w:r>
        <w:t xml:space="preserve">  T-Mobile states that removing this mandate aligns with the statutory requirement to ensure TRS is provided in the “most efficient manner” as it allows providers to</w:t>
      </w:r>
      <w:r w:rsidRPr="003958AB">
        <w:t xml:space="preserve"> </w:t>
      </w:r>
      <w:r>
        <w:t>redirect vital resources toward improving modern, widely used relay technologies, such as Real-Time Text (RTT), IP Relay, and VRS.</w:t>
      </w:r>
      <w:r>
        <w:rPr>
          <w:rStyle w:val="StyleFootnoteReference"/>
        </w:rPr>
        <w:footnoteReference w:id="30"/>
      </w:r>
      <w:r>
        <w:t xml:space="preserve">  </w:t>
      </w:r>
      <w:r w:rsidRPr="009F56D8">
        <w:t>We conclude that eliminat</w:t>
      </w:r>
      <w:r w:rsidRPr="009F56D8" w:rsidR="358B0333">
        <w:t xml:space="preserve">ing </w:t>
      </w:r>
      <w:r w:rsidRPr="009F56D8">
        <w:t>this requirement provides administrative and financial relief.</w:t>
      </w:r>
      <w:r>
        <w:t xml:space="preserve">  By freeing providers from maintaining obsolete hardware platforms, providers can more easily execute necessary network upgrades.</w:t>
      </w:r>
      <w:r>
        <w:rPr>
          <w:rStyle w:val="StyleFootnoteReference"/>
        </w:rPr>
        <w:footnoteReference w:id="31"/>
      </w:r>
    </w:p>
    <w:p w:rsidR="001747A8" w:rsidP="001747A8" w14:paraId="44437740" w14:textId="77777777">
      <w:pPr>
        <w:pStyle w:val="ParaNum"/>
        <w:rPr>
          <w:snapToGrid/>
          <w:kern w:val="0"/>
        </w:rPr>
      </w:pPr>
      <w:r>
        <w:rPr>
          <w:i/>
          <w:iCs/>
        </w:rPr>
        <w:t>Costs and Transition Strategies.</w:t>
      </w:r>
      <w:r>
        <w:t xml:space="preserve">  We asked commenters to identify whether there were any consumers still using the ASCII format, what costs they would incur to transition to Baudot or other services, and what mitigation strategies providers should employ.</w:t>
      </w:r>
      <w:r>
        <w:rPr>
          <w:rStyle w:val="StyleFootnoteReference"/>
        </w:rPr>
        <w:footnoteReference w:id="32"/>
      </w:r>
      <w:r>
        <w:t xml:space="preserve">  The record demonstrates that the number of consumers impacted by this change is effectively zero.  And, as discussed above, Hamilton reports that since the Bureau conditionally waived the ASCII requirement in November 2024, it has not received a single request from a user to have ASCII made available.</w:t>
      </w:r>
      <w:r>
        <w:rPr>
          <w:rStyle w:val="StyleFootnoteReference"/>
        </w:rPr>
        <w:footnoteReference w:id="33"/>
      </w:r>
    </w:p>
    <w:p w:rsidR="001747A8" w:rsidP="001747A8" w14:paraId="6B42A186" w14:textId="16DF4B88">
      <w:pPr>
        <w:pStyle w:val="ParaNum"/>
        <w:rPr>
          <w:snapToGrid/>
          <w:kern w:val="0"/>
        </w:rPr>
      </w:pPr>
      <w:r>
        <w:t>To the extent any legacy users remain, the record shows that the transition process will be seamless and straightforward.  Switching from ASCII to Baudot does not require the purchase of new equipment; as Hamilton explains, a TTY user will only need to change a setting on the user's existing TTY device, because most TTYs automatically default to Baudot unless specifically configured to ASCII-only.</w:t>
      </w:r>
      <w:r>
        <w:rPr>
          <w:rStyle w:val="StyleFootnoteReference"/>
        </w:rPr>
        <w:footnoteReference w:id="34"/>
      </w:r>
      <w:r>
        <w:t xml:space="preserve">  Disability Belongs urge</w:t>
      </w:r>
      <w:r w:rsidR="00957DC4">
        <w:t>s</w:t>
      </w:r>
      <w:r>
        <w:t xml:space="preserve"> the Commission to prioritize people with disabilities during the transition by providing no-cost transition support, accessible alternatives, and flexible solutions.</w:t>
      </w:r>
      <w:r>
        <w:rPr>
          <w:rStyle w:val="StyleFootnoteReference"/>
        </w:rPr>
        <w:footnoteReference w:id="35"/>
      </w:r>
      <w:r>
        <w:t xml:space="preserve">  Providers have affirmed their readiness to assist any affected users to ensure a seamless migration to Baudot or other modern platforms.</w:t>
      </w:r>
      <w:r>
        <w:rPr>
          <w:rStyle w:val="StyleFootnoteReference"/>
        </w:rPr>
        <w:footnoteReference w:id="36"/>
      </w:r>
      <w:r>
        <w:t xml:space="preserve">  Because users can transition simply by adjusting their device settings, and providers will offer technical support, we find that mandating providers to supply new Baudot devices at their own expense is unnecessary.</w:t>
      </w:r>
    </w:p>
    <w:p w:rsidR="001747A8" w:rsidP="001407A6" w14:paraId="763B7242" w14:textId="77777777">
      <w:pPr>
        <w:pStyle w:val="ParaNum"/>
        <w:widowControl/>
        <w:rPr>
          <w:snapToGrid/>
          <w:kern w:val="0"/>
        </w:rPr>
      </w:pPr>
      <w:r>
        <w:t>We conclude that eliminating the ASCII requirement is a targeted, common-sense reform that modernizes TRS regulations.</w:t>
      </w:r>
      <w:r>
        <w:rPr>
          <w:rStyle w:val="StyleFootnoteReference"/>
        </w:rPr>
        <w:footnoteReference w:id="37"/>
      </w:r>
      <w:r>
        <w:t xml:space="preserve">  The substantial benefits of reduced network complexity, hardware </w:t>
      </w:r>
      <w:r>
        <w:t>cost savings, and the ability to invest in modern technologies unequivocally outweigh the minimal costs of transitioning remaining ASCII users.</w:t>
      </w:r>
    </w:p>
    <w:p w:rsidR="001747A8" w:rsidP="001747A8" w14:paraId="619B536C" w14:textId="77777777">
      <w:pPr>
        <w:pStyle w:val="Heading2"/>
        <w:rPr>
          <w:snapToGrid/>
        </w:rPr>
      </w:pPr>
      <w:r>
        <w:rPr>
          <w:snapToGrid/>
        </w:rPr>
        <w:t>Deleting the Definition of ASCII</w:t>
      </w:r>
    </w:p>
    <w:p w:rsidR="001747A8" w:rsidP="001747A8" w14:paraId="1EDC4368" w14:textId="77777777">
      <w:pPr>
        <w:pStyle w:val="ParaNum"/>
      </w:pPr>
      <w:r>
        <w:t>We also delete the definition of ASCII from the TRS rules.</w:t>
      </w:r>
      <w:r>
        <w:rPr>
          <w:rStyle w:val="StyleFootnoteReference"/>
        </w:rPr>
        <w:footnoteReference w:id="38"/>
      </w:r>
      <w:r>
        <w:t xml:space="preserve">  </w:t>
      </w:r>
      <w:r w:rsidRPr="009F2290">
        <w:t xml:space="preserve">Under the </w:t>
      </w:r>
      <w:r w:rsidRPr="006B4A43">
        <w:t>Administrative Procedure Act</w:t>
      </w:r>
      <w:r>
        <w:t xml:space="preserve"> (</w:t>
      </w:r>
      <w:r w:rsidRPr="009F2290">
        <w:t>APA</w:t>
      </w:r>
      <w:r>
        <w:t>)</w:t>
      </w:r>
      <w:r w:rsidRPr="009F2290">
        <w:t>, when an agency for good cause finds that notice and public comment “are impracticable, unnecessary, or contrary to the public interest,” it need not follow notice and comment procedures before modifying or repealing rules</w:t>
      </w:r>
      <w:r>
        <w:t>.</w:t>
      </w:r>
      <w:r>
        <w:rPr>
          <w:rStyle w:val="StyleFootnoteReference"/>
        </w:rPr>
        <w:footnoteReference w:id="39"/>
      </w:r>
      <w:r>
        <w:t xml:space="preserve">  </w:t>
      </w:r>
      <w:r w:rsidRPr="00C44B19">
        <w:t>Prior notice and comment are “unnecessary” when “the administrative rule is a routine determination, insignificant in nature and impact, and inconsequential to the industry and to the public.”</w:t>
      </w:r>
      <w:r>
        <w:rPr>
          <w:rStyle w:val="StyleFootnoteReference"/>
        </w:rPr>
        <w:footnoteReference w:id="40"/>
      </w:r>
      <w:r>
        <w:t xml:space="preserve"> </w:t>
      </w:r>
    </w:p>
    <w:p w:rsidR="001747A8" w:rsidRPr="0064684D" w:rsidP="001747A8" w14:paraId="0312B936" w14:textId="77777777">
      <w:pPr>
        <w:pStyle w:val="ParaNum"/>
      </w:pPr>
      <w:r>
        <w:t>The definition of ASCII was only relevant to two provisions of this subpart F in Part 64 of the Commission rules.  First, section 64.607(b)(2) concerned the availability of text telephones using ASCII, which the Commission eliminated by Direct Final Rule.</w:t>
      </w:r>
      <w:r>
        <w:rPr>
          <w:rStyle w:val="StyleFootnoteReference"/>
        </w:rPr>
        <w:footnoteReference w:id="41"/>
      </w:r>
      <w:r>
        <w:t xml:space="preserve">  Second, in this item, we delete the only other reference to ASCII.  </w:t>
      </w:r>
      <w:r w:rsidRPr="00FE1B03">
        <w:t>We therefore find good cause to conclude that notice and comment procedures are unnecessary and would not serve any useful purpose</w:t>
      </w:r>
      <w:r>
        <w:t xml:space="preserve"> because the term ASCII no longer needs to be defined in this portion of the rules and its deletion is inconsequential.</w:t>
      </w:r>
      <w:r>
        <w:rPr>
          <w:rStyle w:val="StyleFootnoteReference"/>
        </w:rPr>
        <w:footnoteReference w:id="42"/>
      </w:r>
      <w:r>
        <w:t xml:space="preserve"> </w:t>
      </w:r>
    </w:p>
    <w:p w:rsidR="001747A8" w:rsidP="001747A8" w14:paraId="00580A96" w14:textId="77777777">
      <w:pPr>
        <w:pStyle w:val="Heading1"/>
      </w:pPr>
      <w:r>
        <w:t>Procedural Matters</w:t>
      </w:r>
    </w:p>
    <w:p w:rsidR="001747A8" w:rsidRPr="0096710F" w:rsidP="001747A8" w14:paraId="4C9AD849" w14:textId="77777777">
      <w:pPr>
        <w:pStyle w:val="ParaNum"/>
      </w:pPr>
      <w:r>
        <w:rPr>
          <w:i/>
        </w:rPr>
        <w:t>Paperwork Reduction Act</w:t>
      </w:r>
      <w:r>
        <w:rPr>
          <w:iCs/>
        </w:rPr>
        <w:t xml:space="preserve">. </w:t>
      </w:r>
      <w:r>
        <w:t>This document does not contain new or modified information collection requirements subject to the Paperwork Reduction Act of 1995 (PRA).</w:t>
      </w:r>
      <w:r>
        <w:rPr>
          <w:rStyle w:val="StyleFootnoteReference"/>
        </w:rPr>
        <w:footnoteReference w:id="43"/>
      </w:r>
      <w:r>
        <w:t xml:space="preserve">  In addition, therefore, it does not contain any new or modified information collection burden for small business concerns with fewer than 25 employees, pursuant to the Small Business Paperwork Relief Act of 2002.</w:t>
      </w:r>
      <w:r>
        <w:rPr>
          <w:rStyle w:val="StyleFootnoteReference"/>
        </w:rPr>
        <w:footnoteReference w:id="44"/>
      </w:r>
    </w:p>
    <w:p w:rsidR="001747A8" w:rsidP="001747A8" w14:paraId="6B685768" w14:textId="77777777">
      <w:pPr>
        <w:pStyle w:val="ParaNum"/>
      </w:pPr>
      <w:r>
        <w:rPr>
          <w:i/>
          <w:iCs/>
        </w:rPr>
        <w:t>Regulatory Flexibility Act</w:t>
      </w:r>
      <w:r>
        <w:t xml:space="preserve">.  </w:t>
      </w:r>
      <w:r w:rsidRPr="00523EFD">
        <w:t>The Regulatory Flexibility Act of 1980, as amended (RFA),</w:t>
      </w:r>
      <w:r>
        <w:rPr>
          <w:rStyle w:val="StyleFootnoteReference"/>
        </w:rPr>
        <w:footnoteReference w:id="45"/>
      </w:r>
      <w:r w:rsidRPr="00523EFD">
        <w:t xml:space="preserve"> requires that an agency prepare a regulatory flexibility analysis for notice and comment rulemakings, unless the agency certifies that “the rule will not, if promulgated, have a significant economic impact on a substantial number of small entities.”</w:t>
      </w:r>
      <w:r>
        <w:rPr>
          <w:rStyle w:val="StyleFootnoteReference"/>
        </w:rPr>
        <w:footnoteReference w:id="46"/>
      </w:r>
      <w:r w:rsidRPr="00523EFD">
        <w:t xml:space="preserve">  Accordingly, </w:t>
      </w:r>
      <w:r w:rsidRPr="00D70757">
        <w:t xml:space="preserve">the Commission has </w:t>
      </w:r>
      <w:r w:rsidRPr="00523EFD">
        <w:t xml:space="preserve">prepared a Final Regulatory Flexibility Analysis (FRFA) concerning the possible impact of the rule changes and policy contained in this </w:t>
      </w:r>
      <w:r w:rsidRPr="009C0229">
        <w:t>Report and Order</w:t>
      </w:r>
      <w:r w:rsidRPr="00523EFD">
        <w:t xml:space="preserve"> on small entities.  The FRFA is set forth in Appendix C.</w:t>
      </w:r>
    </w:p>
    <w:p w:rsidR="001747A8" w:rsidRPr="00523EFD" w:rsidP="001747A8" w14:paraId="1CEE1A22" w14:textId="77777777">
      <w:pPr>
        <w:pStyle w:val="ParaNum"/>
      </w:pPr>
      <w:r w:rsidRPr="00523EFD">
        <w:rPr>
          <w:i/>
          <w:iCs/>
        </w:rPr>
        <w:t>Congressional Review Act.</w:t>
      </w:r>
      <w:r w:rsidRPr="00523EFD">
        <w:t xml:space="preserve">  The Commission has determined, and the Administrator of the Office of Information and Regulatory Affairs, Office of Management and Budget, concurs, that this rule is non-major under the Congressional Review Act, 5 U.S.C. </w:t>
      </w:r>
      <w:r w:rsidRPr="00523EFD">
        <w:rPr>
          <w:rFonts w:cs="Calibri"/>
        </w:rPr>
        <w:t>§</w:t>
      </w:r>
      <w:r w:rsidRPr="00523EFD">
        <w:t xml:space="preserve"> 804(2).  The Commission will send a copy of this Report and Order to Congress and the Government Accountability Office pursuant to 5 U.S.C. § 801(a)(1)(A).</w:t>
      </w:r>
      <w:r>
        <w:rPr>
          <w:rStyle w:val="StyleFootnoteReference"/>
        </w:rPr>
        <w:footnoteReference w:id="47"/>
      </w:r>
      <w:r w:rsidRPr="00523EFD">
        <w:t xml:space="preserve"> </w:t>
      </w:r>
    </w:p>
    <w:p w:rsidR="001747A8" w:rsidRPr="00523EFD" w:rsidP="001747A8" w14:paraId="756D4CCF" w14:textId="77777777">
      <w:pPr>
        <w:pStyle w:val="ParaNum"/>
        <w:rPr>
          <w:rFonts w:eastAsia="Calibri"/>
        </w:rPr>
      </w:pPr>
      <w:r w:rsidRPr="00675B78">
        <w:rPr>
          <w:rFonts w:eastAsia="Calibri"/>
          <w:i/>
          <w:iCs/>
        </w:rPr>
        <w:t>Materials in Accessible Formats</w:t>
      </w:r>
      <w:r>
        <w:rPr>
          <w:rFonts w:eastAsia="Calibri"/>
        </w:rPr>
        <w:t xml:space="preserve">.  </w:t>
      </w:r>
      <w:r w:rsidRPr="00523EFD">
        <w:rPr>
          <w:rFonts w:eastAsia="Calibri"/>
        </w:rPr>
        <w:t xml:space="preserve">To request materials in accessible formats for people with disabilities (Braille, large print, electronic files, audio format), send an e-mail to </w:t>
      </w:r>
      <w:hyperlink r:id="rId6" w:history="1">
        <w:r w:rsidRPr="00523EFD">
          <w:rPr>
            <w:rFonts w:eastAsia="Calibri"/>
            <w:color w:val="0000FF"/>
            <w:u w:val="single"/>
          </w:rPr>
          <w:t>fcc504@fcc.gov</w:t>
        </w:r>
      </w:hyperlink>
      <w:r w:rsidRPr="00523EFD">
        <w:rPr>
          <w:rFonts w:eastAsia="Calibri"/>
        </w:rPr>
        <w:t xml:space="preserve"> or call the Consumer and Governmental Affairs Bureau at 202-418-0530</w:t>
      </w:r>
      <w:r>
        <w:rPr>
          <w:rFonts w:eastAsia="Calibri"/>
        </w:rPr>
        <w:t xml:space="preserve"> (voice) or 844-432-2275 (ASL videophone)</w:t>
      </w:r>
      <w:r w:rsidRPr="00523EFD">
        <w:rPr>
          <w:rFonts w:eastAsia="Calibri"/>
        </w:rPr>
        <w:t>.</w:t>
      </w:r>
    </w:p>
    <w:p w:rsidR="001747A8" w:rsidP="001747A8" w14:paraId="7D28A5D2" w14:textId="77777777">
      <w:pPr>
        <w:pStyle w:val="ParaNum"/>
      </w:pPr>
      <w:r w:rsidRPr="00F77C88">
        <w:rPr>
          <w:i/>
          <w:iCs/>
        </w:rPr>
        <w:t>Additional Information</w:t>
      </w:r>
      <w:r>
        <w:t xml:space="preserve">.  For additional information on this proceeding, contact Joshua Mendelsohn of the Consumer and Governmental Affairs Bureau, Disability Rights Office, at </w:t>
      </w:r>
      <w:hyperlink r:id="rId7" w:history="1">
        <w:r w:rsidRPr="00DB2482">
          <w:rPr>
            <w:rStyle w:val="Hyperlink"/>
          </w:rPr>
          <w:t>Joshua.Mendelsohn@fcc.gov</w:t>
        </w:r>
      </w:hyperlink>
      <w:r>
        <w:t xml:space="preserve"> or (202) 559-7304 (voice or ASL videophone).</w:t>
      </w:r>
    </w:p>
    <w:p w:rsidR="001747A8" w:rsidP="001747A8" w14:paraId="1B6E569D" w14:textId="77777777">
      <w:pPr>
        <w:pStyle w:val="Heading1"/>
      </w:pPr>
      <w:r w:rsidRPr="00EC6094">
        <w:t>Ordering Clauses</w:t>
      </w:r>
    </w:p>
    <w:p w:rsidR="001747A8" w:rsidRPr="00620EDB" w:rsidP="001747A8" w14:paraId="72FD791C" w14:textId="77777777">
      <w:pPr>
        <w:pStyle w:val="ParaNum"/>
      </w:pPr>
      <w:r w:rsidRPr="00620EDB">
        <w:t xml:space="preserve">Accordingly, </w:t>
      </w:r>
      <w:r w:rsidRPr="00620EDB">
        <w:rPr>
          <w:b/>
          <w:bCs/>
        </w:rPr>
        <w:t>IT IS ORDERED</w:t>
      </w:r>
      <w:r w:rsidRPr="00620EDB">
        <w:t>, pursuant to sections 1, 4(</w:t>
      </w:r>
      <w:r w:rsidRPr="00620EDB">
        <w:t>i</w:t>
      </w:r>
      <w:r w:rsidRPr="00620EDB">
        <w:t>), 4(j), and 225 of the Communications Act of 1934, as amended, 47 U.S.C. §§ 151, 154(</w:t>
      </w:r>
      <w:r w:rsidRPr="00620EDB">
        <w:t>i</w:t>
      </w:r>
      <w:r w:rsidRPr="00620EDB">
        <w:t xml:space="preserve">), 154(j), 225, that this </w:t>
      </w:r>
      <w:r>
        <w:t>Report and Order</w:t>
      </w:r>
      <w:r w:rsidRPr="00620EDB">
        <w:t xml:space="preserve"> is </w:t>
      </w:r>
      <w:r w:rsidRPr="00620EDB">
        <w:rPr>
          <w:b/>
          <w:bCs/>
        </w:rPr>
        <w:t>ADOPTED</w:t>
      </w:r>
      <w:r>
        <w:t xml:space="preserve">, and the Commission’s rules are hereby </w:t>
      </w:r>
      <w:r w:rsidRPr="005E5757">
        <w:rPr>
          <w:b/>
          <w:bCs/>
        </w:rPr>
        <w:t>AMENDED</w:t>
      </w:r>
      <w:r>
        <w:t xml:space="preserve"> as set forth in Appendix B</w:t>
      </w:r>
      <w:r w:rsidRPr="00620EDB">
        <w:t>.</w:t>
      </w:r>
      <w:r>
        <w:rPr>
          <w:rStyle w:val="StyleFootnoteReference"/>
        </w:rPr>
        <w:footnoteReference w:id="48"/>
      </w:r>
    </w:p>
    <w:p w:rsidR="001747A8" w:rsidP="001747A8" w14:paraId="011C0A3B" w14:textId="77777777">
      <w:pPr>
        <w:pStyle w:val="ParaNum"/>
      </w:pPr>
      <w:r w:rsidRPr="00DE653C">
        <w:rPr>
          <w:b/>
          <w:bCs/>
        </w:rPr>
        <w:t>IT IS FURTHER ORDERED</w:t>
      </w:r>
      <w:r w:rsidRPr="00DE653C">
        <w:t xml:space="preserve"> that</w:t>
      </w:r>
      <w:r w:rsidRPr="001E43E1">
        <w:t xml:space="preserve"> the Report and Order </w:t>
      </w:r>
      <w:r w:rsidRPr="00DE653C">
        <w:rPr>
          <w:b/>
          <w:bCs/>
        </w:rPr>
        <w:t>SHALL BE EFFECTIVE</w:t>
      </w:r>
      <w:r w:rsidRPr="00DE653C">
        <w:t xml:space="preserve"> 30 days after publication in the Federal Register</w:t>
      </w:r>
      <w:r>
        <w:t>.</w:t>
      </w:r>
    </w:p>
    <w:p w:rsidR="001747A8" w:rsidRPr="00523EFD" w:rsidP="001747A8" w14:paraId="2BC13202" w14:textId="77777777">
      <w:pPr>
        <w:pStyle w:val="ParaNum"/>
      </w:pPr>
      <w:r w:rsidRPr="006A26A1">
        <w:rPr>
          <w:b/>
          <w:bCs/>
        </w:rPr>
        <w:t>IT IS FURTHER ORDERED</w:t>
      </w:r>
      <w:r w:rsidRPr="00523EFD">
        <w:t xml:space="preserve"> that the Office of the Managing Director, Performance Evaluation and Records Management, </w:t>
      </w:r>
      <w:r w:rsidRPr="006A26A1">
        <w:rPr>
          <w:b/>
          <w:bCs/>
        </w:rPr>
        <w:t>SHALL SEND</w:t>
      </w:r>
      <w:r w:rsidRPr="00523EFD">
        <w:t xml:space="preserve"> a copy of th</w:t>
      </w:r>
      <w:r w:rsidRPr="001E43E1">
        <w:t xml:space="preserve">e Report and Order in </w:t>
      </w:r>
      <w:r w:rsidRPr="00523EFD">
        <w:t>a report to be sent to Congress and the Government Accountability Office pursuant to the Congressional Review Act, 5 U.S.C. § 801(a)(1)(A).</w:t>
      </w:r>
    </w:p>
    <w:p w:rsidR="001747A8" w:rsidP="001747A8" w14:paraId="2DA82F86" w14:textId="77777777">
      <w:pPr>
        <w:pStyle w:val="ParaNum"/>
      </w:pPr>
      <w:r w:rsidRPr="00090F48">
        <w:rPr>
          <w:b/>
          <w:bCs/>
        </w:rPr>
        <w:t xml:space="preserve">IT IS FURTHER ORDERED </w:t>
      </w:r>
      <w:r w:rsidRPr="00523EFD">
        <w:t xml:space="preserve">that the Commission’s Office of the Secretary, </w:t>
      </w:r>
      <w:r w:rsidRPr="00090F48">
        <w:rPr>
          <w:b/>
          <w:bCs/>
        </w:rPr>
        <w:t>SHALL SEND</w:t>
      </w:r>
      <w:r w:rsidRPr="00523EFD">
        <w:t xml:space="preserve"> a copy of</w:t>
      </w:r>
      <w:r w:rsidRPr="001E43E1">
        <w:t xml:space="preserve"> this Report and Order, inc</w:t>
      </w:r>
      <w:r w:rsidRPr="00523EFD">
        <w:t xml:space="preserve">luding the Final Regulatory Flexibility Analysis, to the Chief Counsel </w:t>
      </w:r>
      <w:r w:rsidRPr="0029343B">
        <w:t>for the Small Business Administration (SBA) Office of Advocacy.</w:t>
      </w:r>
      <w:r w:rsidRPr="00523EFD">
        <w:t xml:space="preserve">. </w:t>
      </w:r>
    </w:p>
    <w:p w:rsidR="001747A8" w:rsidRPr="00523EFD" w:rsidP="001747A8" w14:paraId="283400E2" w14:textId="77777777">
      <w:pPr>
        <w:pStyle w:val="ParaNum"/>
        <w:numPr>
          <w:ilvl w:val="0"/>
          <w:numId w:val="0"/>
        </w:numPr>
        <w:ind w:left="720"/>
      </w:pPr>
    </w:p>
    <w:p w:rsidR="001747A8" w:rsidP="001747A8" w14:paraId="6E12AE16" w14:textId="77777777">
      <w:pPr>
        <w:pStyle w:val="ParaNum"/>
        <w:numPr>
          <w:ilvl w:val="0"/>
          <w:numId w:val="0"/>
        </w:numPr>
        <w:ind w:left="4320"/>
      </w:pPr>
      <w:r>
        <w:t>FEDERAL COMMUNICATIONS COMMISSION</w:t>
      </w:r>
      <w:r>
        <w:br/>
      </w:r>
      <w:r>
        <w:br/>
      </w:r>
      <w:r>
        <w:br/>
      </w:r>
      <w:r>
        <w:br/>
      </w:r>
      <w:r>
        <w:br/>
        <w:t>Marlene H. Dortch</w:t>
      </w:r>
      <w:r>
        <w:br/>
        <w:t>Secretary</w:t>
      </w:r>
    </w:p>
    <w:p w:rsidR="001747A8" w:rsidRPr="00523EFD" w:rsidP="007F2434" w14:paraId="5DAD6B3A" w14:textId="77777777">
      <w:pPr>
        <w:widowControl/>
        <w:jc w:val="center"/>
        <w:rPr>
          <w:b/>
          <w:bCs/>
        </w:rPr>
      </w:pPr>
      <w:r>
        <w:br w:type="page"/>
      </w:r>
      <w:r w:rsidRPr="00523EFD">
        <w:rPr>
          <w:b/>
          <w:bCs/>
        </w:rPr>
        <w:t>APPENDIX A</w:t>
      </w:r>
    </w:p>
    <w:p w:rsidR="001747A8" w:rsidRPr="00523EFD" w:rsidP="001747A8" w14:paraId="60F78196" w14:textId="77777777">
      <w:pPr>
        <w:widowControl/>
        <w:spacing w:after="120"/>
        <w:jc w:val="center"/>
        <w:rPr>
          <w:b/>
          <w:bCs/>
        </w:rPr>
      </w:pPr>
      <w:r w:rsidRPr="00523EFD">
        <w:rPr>
          <w:b/>
          <w:bCs/>
        </w:rPr>
        <w:t>List of Commenting Parties</w:t>
      </w:r>
    </w:p>
    <w:p w:rsidR="001747A8" w:rsidRPr="00523EFD" w:rsidP="001747A8" w14:paraId="12333874" w14:textId="77777777">
      <w:pPr>
        <w:widowControl/>
        <w:spacing w:after="120"/>
        <w:jc w:val="center"/>
      </w:pPr>
    </w:p>
    <w:p w:rsidR="001747A8" w:rsidP="001747A8" w14:paraId="52096F44" w14:textId="77777777">
      <w:pPr>
        <w:widowControl/>
        <w:rPr>
          <w:b/>
          <w:bCs/>
          <w:u w:val="single"/>
        </w:rPr>
      </w:pPr>
      <w:r w:rsidRPr="00523EFD">
        <w:rPr>
          <w:b/>
          <w:bCs/>
          <w:u w:val="single"/>
        </w:rPr>
        <w:t>Comments</w:t>
      </w:r>
    </w:p>
    <w:p w:rsidR="001747A8" w:rsidRPr="008C4451" w:rsidP="001747A8" w14:paraId="4EFE5539" w14:textId="77777777">
      <w:pPr>
        <w:widowControl/>
      </w:pPr>
    </w:p>
    <w:p w:rsidR="001747A8" w:rsidP="001747A8" w14:paraId="0E185D87" w14:textId="77777777">
      <w:pPr>
        <w:widowControl/>
      </w:pPr>
      <w:r>
        <w:t>Disability Belongs</w:t>
      </w:r>
    </w:p>
    <w:p w:rsidR="001747A8" w:rsidP="001747A8" w14:paraId="57C8B425" w14:textId="77777777">
      <w:pPr>
        <w:widowControl/>
      </w:pPr>
    </w:p>
    <w:p w:rsidR="001747A8" w:rsidP="001747A8" w14:paraId="49B3E0CF" w14:textId="77777777">
      <w:pPr>
        <w:widowControl/>
      </w:pPr>
      <w:r>
        <w:t>Hamilton Relay, Inc. (Hamilton)</w:t>
      </w:r>
    </w:p>
    <w:p w:rsidR="001747A8" w:rsidP="001747A8" w14:paraId="14C43839" w14:textId="77777777">
      <w:pPr>
        <w:widowControl/>
      </w:pPr>
    </w:p>
    <w:p w:rsidR="001747A8" w:rsidP="001747A8" w14:paraId="46ADA013" w14:textId="77777777">
      <w:pPr>
        <w:widowControl/>
      </w:pPr>
      <w:r>
        <w:t>Telecommunications Equipment Distribution Program Association (TEDPA) and the National Association of State Relay Administrators (NASRA)</w:t>
      </w:r>
    </w:p>
    <w:p w:rsidR="001747A8" w:rsidRPr="008C4451" w:rsidP="001747A8" w14:paraId="0DE2C9AE" w14:textId="77777777">
      <w:pPr>
        <w:widowControl/>
      </w:pPr>
    </w:p>
    <w:p w:rsidR="001747A8" w:rsidRPr="008C4451" w:rsidP="001747A8" w14:paraId="505FC458" w14:textId="77777777">
      <w:pPr>
        <w:widowControl/>
      </w:pPr>
    </w:p>
    <w:p w:rsidR="001747A8" w:rsidP="001747A8" w14:paraId="04FC3D4A" w14:textId="77777777">
      <w:pPr>
        <w:widowControl/>
        <w:rPr>
          <w:b/>
          <w:bCs/>
          <w:u w:val="single"/>
        </w:rPr>
      </w:pPr>
      <w:r>
        <w:rPr>
          <w:b/>
          <w:bCs/>
          <w:u w:val="single"/>
        </w:rPr>
        <w:t>Reply Comments</w:t>
      </w:r>
    </w:p>
    <w:p w:rsidR="001747A8" w:rsidP="001747A8" w14:paraId="5BC7E0C6" w14:textId="77777777">
      <w:pPr>
        <w:widowControl/>
      </w:pPr>
    </w:p>
    <w:p w:rsidR="001747A8" w:rsidRPr="008C4451" w:rsidP="001747A8" w14:paraId="1E07022B" w14:textId="77777777">
      <w:pPr>
        <w:widowControl/>
      </w:pPr>
      <w:r w:rsidRPr="00094153">
        <w:t>T-Mobile USA, Inc.</w:t>
      </w:r>
      <w:r>
        <w:t xml:space="preserve"> (T-Mobile)</w:t>
      </w:r>
    </w:p>
    <w:p w:rsidR="001747A8" w:rsidRPr="00523EFD" w:rsidP="001747A8" w14:paraId="0DEAF73A" w14:textId="77777777">
      <w:pPr>
        <w:widowControl/>
      </w:pPr>
    </w:p>
    <w:p w:rsidR="001747A8" w:rsidRPr="00620EDB" w:rsidP="007F2434" w14:paraId="0A1B2A1D" w14:textId="77777777">
      <w:pPr>
        <w:jc w:val="center"/>
        <w:rPr>
          <w:b/>
        </w:rPr>
      </w:pPr>
      <w:r>
        <w:br w:type="page"/>
      </w:r>
      <w:r w:rsidRPr="00620EDB">
        <w:rPr>
          <w:b/>
        </w:rPr>
        <w:t xml:space="preserve">APPENDIX </w:t>
      </w:r>
      <w:r>
        <w:rPr>
          <w:b/>
        </w:rPr>
        <w:t>B</w:t>
      </w:r>
    </w:p>
    <w:p w:rsidR="001747A8" w:rsidRPr="0073532E" w:rsidP="001747A8" w14:paraId="4F2B5D4C" w14:textId="77777777">
      <w:pPr>
        <w:jc w:val="center"/>
        <w:rPr>
          <w:b/>
        </w:rPr>
      </w:pPr>
      <w:r>
        <w:rPr>
          <w:b/>
        </w:rPr>
        <w:t>Final</w:t>
      </w:r>
      <w:r w:rsidRPr="00620EDB">
        <w:rPr>
          <w:b/>
        </w:rPr>
        <w:t xml:space="preserve"> Rules</w:t>
      </w:r>
    </w:p>
    <w:p w:rsidR="001747A8" w:rsidP="001747A8" w14:paraId="4DA70061" w14:textId="77777777">
      <w:pPr>
        <w:rPr>
          <w:b/>
        </w:rPr>
      </w:pPr>
    </w:p>
    <w:p w:rsidR="001747A8" w:rsidRPr="001C688F" w:rsidP="001747A8" w14:paraId="1AC665ED" w14:textId="77777777">
      <w:pPr>
        <w:spacing w:after="120"/>
        <w:rPr>
          <w:szCs w:val="22"/>
        </w:rPr>
      </w:pPr>
      <w:r>
        <w:rPr>
          <w:szCs w:val="22"/>
        </w:rPr>
        <w:t>T</w:t>
      </w:r>
      <w:r w:rsidRPr="001C688F">
        <w:rPr>
          <w:szCs w:val="22"/>
        </w:rPr>
        <w:t>he</w:t>
      </w:r>
      <w:r>
        <w:rPr>
          <w:szCs w:val="22"/>
        </w:rPr>
        <w:t xml:space="preserve"> </w:t>
      </w:r>
      <w:r w:rsidRPr="001C688F">
        <w:rPr>
          <w:szCs w:val="22"/>
        </w:rPr>
        <w:t>Federal</w:t>
      </w:r>
      <w:r>
        <w:rPr>
          <w:szCs w:val="22"/>
        </w:rPr>
        <w:t xml:space="preserve"> </w:t>
      </w:r>
      <w:r w:rsidRPr="001C688F">
        <w:rPr>
          <w:szCs w:val="22"/>
        </w:rPr>
        <w:t>Communications</w:t>
      </w:r>
      <w:r>
        <w:rPr>
          <w:szCs w:val="22"/>
        </w:rPr>
        <w:t xml:space="preserve"> </w:t>
      </w:r>
      <w:r w:rsidRPr="001C688F">
        <w:rPr>
          <w:szCs w:val="22"/>
        </w:rPr>
        <w:t>Commission</w:t>
      </w:r>
      <w:r>
        <w:rPr>
          <w:szCs w:val="22"/>
        </w:rPr>
        <w:t xml:space="preserve"> </w:t>
      </w:r>
      <w:r w:rsidRPr="001C688F">
        <w:rPr>
          <w:szCs w:val="22"/>
        </w:rPr>
        <w:t>amend</w:t>
      </w:r>
      <w:r>
        <w:rPr>
          <w:szCs w:val="22"/>
        </w:rPr>
        <w:t xml:space="preserve">s Title 47 of the Code of Federal Regulations </w:t>
      </w:r>
      <w:r w:rsidRPr="001C688F">
        <w:rPr>
          <w:szCs w:val="22"/>
        </w:rPr>
        <w:t>as</w:t>
      </w:r>
      <w:r>
        <w:rPr>
          <w:szCs w:val="22"/>
        </w:rPr>
        <w:t xml:space="preserve"> </w:t>
      </w:r>
      <w:r w:rsidRPr="001C688F">
        <w:rPr>
          <w:szCs w:val="22"/>
        </w:rPr>
        <w:t>follows:</w:t>
      </w:r>
    </w:p>
    <w:p w:rsidR="001747A8" w:rsidRPr="001C688F" w:rsidP="001747A8" w14:paraId="48410306" w14:textId="77777777">
      <w:pPr>
        <w:spacing w:after="120"/>
        <w:rPr>
          <w:b/>
          <w:szCs w:val="22"/>
        </w:rPr>
      </w:pPr>
      <w:r w:rsidRPr="001C688F">
        <w:rPr>
          <w:b/>
          <w:szCs w:val="22"/>
        </w:rPr>
        <w:t>PART</w:t>
      </w:r>
      <w:r>
        <w:rPr>
          <w:b/>
          <w:szCs w:val="22"/>
        </w:rPr>
        <w:t xml:space="preserve"> </w:t>
      </w:r>
      <w:r w:rsidRPr="001C688F">
        <w:rPr>
          <w:b/>
          <w:szCs w:val="22"/>
        </w:rPr>
        <w:t>64</w:t>
      </w:r>
      <w:r>
        <w:rPr>
          <w:b/>
          <w:szCs w:val="22"/>
        </w:rPr>
        <w:t xml:space="preserve"> </w:t>
      </w:r>
      <w:r w:rsidRPr="001C688F">
        <w:rPr>
          <w:b/>
          <w:szCs w:val="22"/>
        </w:rPr>
        <w:t>–</w:t>
      </w:r>
      <w:r>
        <w:rPr>
          <w:b/>
          <w:szCs w:val="22"/>
        </w:rPr>
        <w:t xml:space="preserve"> </w:t>
      </w:r>
      <w:r w:rsidRPr="001C688F">
        <w:rPr>
          <w:b/>
          <w:szCs w:val="22"/>
        </w:rPr>
        <w:t>MISCELLANEOUS</w:t>
      </w:r>
      <w:r>
        <w:rPr>
          <w:b/>
          <w:szCs w:val="22"/>
        </w:rPr>
        <w:t xml:space="preserve"> </w:t>
      </w:r>
      <w:r w:rsidRPr="001C688F">
        <w:rPr>
          <w:b/>
          <w:szCs w:val="22"/>
        </w:rPr>
        <w:t>RULES</w:t>
      </w:r>
      <w:r>
        <w:rPr>
          <w:b/>
          <w:szCs w:val="22"/>
        </w:rPr>
        <w:t xml:space="preserve"> </w:t>
      </w:r>
      <w:r w:rsidRPr="001C688F">
        <w:rPr>
          <w:b/>
          <w:szCs w:val="22"/>
        </w:rPr>
        <w:t>RELATING</w:t>
      </w:r>
      <w:r>
        <w:rPr>
          <w:b/>
          <w:szCs w:val="22"/>
        </w:rPr>
        <w:t xml:space="preserve"> </w:t>
      </w:r>
      <w:r w:rsidRPr="001C688F">
        <w:rPr>
          <w:b/>
          <w:szCs w:val="22"/>
        </w:rPr>
        <w:t>TO</w:t>
      </w:r>
      <w:r>
        <w:rPr>
          <w:b/>
          <w:szCs w:val="22"/>
        </w:rPr>
        <w:t xml:space="preserve"> </w:t>
      </w:r>
      <w:r w:rsidRPr="001C688F">
        <w:rPr>
          <w:b/>
          <w:szCs w:val="22"/>
        </w:rPr>
        <w:t>COMMON</w:t>
      </w:r>
      <w:r>
        <w:rPr>
          <w:b/>
          <w:szCs w:val="22"/>
        </w:rPr>
        <w:t xml:space="preserve"> </w:t>
      </w:r>
      <w:r w:rsidRPr="001C688F">
        <w:rPr>
          <w:b/>
          <w:szCs w:val="22"/>
        </w:rPr>
        <w:t>CARRIERS</w:t>
      </w:r>
    </w:p>
    <w:p w:rsidR="001747A8" w:rsidRPr="001C688F" w:rsidP="001747A8" w14:paraId="011DD36D" w14:textId="77777777">
      <w:pPr>
        <w:numPr>
          <w:ilvl w:val="0"/>
          <w:numId w:val="7"/>
        </w:numPr>
        <w:spacing w:after="120"/>
        <w:rPr>
          <w:szCs w:val="22"/>
        </w:rPr>
      </w:pPr>
      <w:r w:rsidRPr="001C688F">
        <w:rPr>
          <w:szCs w:val="22"/>
        </w:rPr>
        <w:t>The</w:t>
      </w:r>
      <w:r>
        <w:rPr>
          <w:szCs w:val="22"/>
        </w:rPr>
        <w:t xml:space="preserve"> </w:t>
      </w:r>
      <w:r w:rsidRPr="001C688F">
        <w:rPr>
          <w:szCs w:val="22"/>
        </w:rPr>
        <w:t>authority</w:t>
      </w:r>
      <w:r>
        <w:rPr>
          <w:szCs w:val="22"/>
        </w:rPr>
        <w:t xml:space="preserve"> </w:t>
      </w:r>
      <w:r w:rsidRPr="001C688F">
        <w:rPr>
          <w:szCs w:val="22"/>
        </w:rPr>
        <w:t>citation</w:t>
      </w:r>
      <w:r>
        <w:rPr>
          <w:szCs w:val="22"/>
        </w:rPr>
        <w:t xml:space="preserve"> </w:t>
      </w:r>
      <w:r w:rsidRPr="001C688F">
        <w:rPr>
          <w:szCs w:val="22"/>
        </w:rPr>
        <w:t>for</w:t>
      </w:r>
      <w:r>
        <w:rPr>
          <w:szCs w:val="22"/>
        </w:rPr>
        <w:t xml:space="preserve"> </w:t>
      </w:r>
      <w:r w:rsidRPr="001C688F">
        <w:rPr>
          <w:szCs w:val="22"/>
        </w:rPr>
        <w:t>part</w:t>
      </w:r>
      <w:r>
        <w:rPr>
          <w:szCs w:val="22"/>
        </w:rPr>
        <w:t xml:space="preserve"> </w:t>
      </w:r>
      <w:r w:rsidRPr="001C688F">
        <w:rPr>
          <w:szCs w:val="22"/>
        </w:rPr>
        <w:t>64</w:t>
      </w:r>
      <w:r>
        <w:rPr>
          <w:szCs w:val="22"/>
        </w:rPr>
        <w:t xml:space="preserve"> </w:t>
      </w:r>
      <w:r w:rsidRPr="001C688F">
        <w:rPr>
          <w:szCs w:val="22"/>
        </w:rPr>
        <w:t>continues</w:t>
      </w:r>
      <w:r>
        <w:rPr>
          <w:szCs w:val="22"/>
        </w:rPr>
        <w:t xml:space="preserve"> </w:t>
      </w:r>
      <w:r w:rsidRPr="001C688F">
        <w:rPr>
          <w:szCs w:val="22"/>
        </w:rPr>
        <w:t>to</w:t>
      </w:r>
      <w:r>
        <w:rPr>
          <w:szCs w:val="22"/>
        </w:rPr>
        <w:t xml:space="preserve"> </w:t>
      </w:r>
      <w:r w:rsidRPr="001C688F">
        <w:rPr>
          <w:szCs w:val="22"/>
        </w:rPr>
        <w:t>read</w:t>
      </w:r>
      <w:r>
        <w:rPr>
          <w:szCs w:val="22"/>
        </w:rPr>
        <w:t xml:space="preserve"> </w:t>
      </w:r>
      <w:r w:rsidRPr="001C688F">
        <w:rPr>
          <w:szCs w:val="22"/>
        </w:rPr>
        <w:t>as</w:t>
      </w:r>
      <w:r>
        <w:rPr>
          <w:szCs w:val="22"/>
        </w:rPr>
        <w:t xml:space="preserve"> </w:t>
      </w:r>
      <w:r w:rsidRPr="001C688F">
        <w:rPr>
          <w:szCs w:val="22"/>
        </w:rPr>
        <w:t>follows:</w:t>
      </w:r>
    </w:p>
    <w:p w:rsidR="001747A8" w:rsidRPr="001C688F" w:rsidP="001747A8" w14:paraId="7044B2B1" w14:textId="77777777">
      <w:pPr>
        <w:spacing w:after="120"/>
        <w:rPr>
          <w:szCs w:val="22"/>
        </w:rPr>
      </w:pPr>
      <w:r w:rsidRPr="001C688F">
        <w:rPr>
          <w:szCs w:val="22"/>
        </w:rPr>
        <w:t>AUTHORITY:</w:t>
      </w:r>
      <w:r>
        <w:rPr>
          <w:szCs w:val="22"/>
        </w:rPr>
        <w:t xml:space="preserve"> </w:t>
      </w:r>
      <w:r w:rsidRPr="001C688F">
        <w:rPr>
          <w:szCs w:val="22"/>
        </w:rPr>
        <w:t>47</w:t>
      </w:r>
      <w:r>
        <w:rPr>
          <w:szCs w:val="22"/>
        </w:rPr>
        <w:t xml:space="preserve"> </w:t>
      </w:r>
      <w:r w:rsidRPr="001C688F">
        <w:rPr>
          <w:szCs w:val="22"/>
        </w:rPr>
        <w:t>U.S.C.</w:t>
      </w:r>
      <w:r>
        <w:rPr>
          <w:szCs w:val="22"/>
        </w:rPr>
        <w:t xml:space="preserve"> </w:t>
      </w:r>
      <w:r w:rsidRPr="001C688F">
        <w:rPr>
          <w:szCs w:val="22"/>
        </w:rPr>
        <w:t>§§</w:t>
      </w:r>
      <w:r>
        <w:rPr>
          <w:szCs w:val="22"/>
        </w:rPr>
        <w:t xml:space="preserve"> </w:t>
      </w:r>
      <w:r w:rsidRPr="001C688F">
        <w:rPr>
          <w:szCs w:val="22"/>
        </w:rPr>
        <w:t>151,</w:t>
      </w:r>
      <w:r>
        <w:rPr>
          <w:szCs w:val="22"/>
        </w:rPr>
        <w:t xml:space="preserve"> </w:t>
      </w:r>
      <w:r w:rsidRPr="001C688F">
        <w:rPr>
          <w:szCs w:val="22"/>
        </w:rPr>
        <w:t>152,</w:t>
      </w:r>
      <w:r>
        <w:rPr>
          <w:szCs w:val="22"/>
        </w:rPr>
        <w:t xml:space="preserve"> </w:t>
      </w:r>
      <w:r w:rsidRPr="001C688F">
        <w:rPr>
          <w:szCs w:val="22"/>
        </w:rPr>
        <w:t>154,</w:t>
      </w:r>
      <w:r>
        <w:rPr>
          <w:szCs w:val="22"/>
        </w:rPr>
        <w:t xml:space="preserve"> </w:t>
      </w:r>
      <w:r w:rsidRPr="001C688F">
        <w:rPr>
          <w:szCs w:val="22"/>
        </w:rPr>
        <w:t>201,</w:t>
      </w:r>
      <w:r>
        <w:rPr>
          <w:szCs w:val="22"/>
        </w:rPr>
        <w:t xml:space="preserve"> </w:t>
      </w:r>
      <w:r w:rsidRPr="001C688F">
        <w:rPr>
          <w:szCs w:val="22"/>
        </w:rPr>
        <w:t>202,</w:t>
      </w:r>
      <w:r>
        <w:rPr>
          <w:szCs w:val="22"/>
        </w:rPr>
        <w:t xml:space="preserve"> </w:t>
      </w:r>
      <w:r w:rsidRPr="001C688F">
        <w:rPr>
          <w:szCs w:val="22"/>
        </w:rPr>
        <w:t>217,</w:t>
      </w:r>
      <w:r>
        <w:rPr>
          <w:szCs w:val="22"/>
        </w:rPr>
        <w:t xml:space="preserve"> </w:t>
      </w:r>
      <w:r w:rsidRPr="001C688F">
        <w:rPr>
          <w:szCs w:val="22"/>
        </w:rPr>
        <w:t>218,</w:t>
      </w:r>
      <w:r>
        <w:rPr>
          <w:szCs w:val="22"/>
        </w:rPr>
        <w:t xml:space="preserve"> </w:t>
      </w:r>
      <w:r w:rsidRPr="001C688F">
        <w:rPr>
          <w:szCs w:val="22"/>
        </w:rPr>
        <w:t>220,</w:t>
      </w:r>
      <w:r>
        <w:rPr>
          <w:szCs w:val="22"/>
        </w:rPr>
        <w:t xml:space="preserve"> </w:t>
      </w:r>
      <w:r w:rsidRPr="001C688F">
        <w:rPr>
          <w:szCs w:val="22"/>
        </w:rPr>
        <w:t>222,</w:t>
      </w:r>
      <w:r>
        <w:rPr>
          <w:szCs w:val="22"/>
        </w:rPr>
        <w:t xml:space="preserve"> </w:t>
      </w:r>
      <w:r w:rsidRPr="001C688F">
        <w:rPr>
          <w:szCs w:val="22"/>
        </w:rPr>
        <w:t>225,</w:t>
      </w:r>
      <w:r>
        <w:rPr>
          <w:szCs w:val="22"/>
        </w:rPr>
        <w:t xml:space="preserve"> </w:t>
      </w:r>
      <w:r w:rsidRPr="001C688F">
        <w:rPr>
          <w:szCs w:val="22"/>
        </w:rPr>
        <w:t>226,</w:t>
      </w:r>
      <w:r>
        <w:rPr>
          <w:szCs w:val="22"/>
        </w:rPr>
        <w:t xml:space="preserve"> </w:t>
      </w:r>
      <w:r w:rsidRPr="001C688F">
        <w:rPr>
          <w:szCs w:val="22"/>
        </w:rPr>
        <w:t>227,</w:t>
      </w:r>
      <w:r>
        <w:rPr>
          <w:szCs w:val="22"/>
        </w:rPr>
        <w:t xml:space="preserve"> </w:t>
      </w:r>
      <w:r w:rsidRPr="001C688F">
        <w:rPr>
          <w:szCs w:val="22"/>
        </w:rPr>
        <w:t>227b,</w:t>
      </w:r>
      <w:r>
        <w:rPr>
          <w:szCs w:val="22"/>
        </w:rPr>
        <w:t xml:space="preserve"> </w:t>
      </w:r>
      <w:r w:rsidRPr="001C688F">
        <w:rPr>
          <w:szCs w:val="22"/>
        </w:rPr>
        <w:t>228,</w:t>
      </w:r>
      <w:r>
        <w:rPr>
          <w:szCs w:val="22"/>
        </w:rPr>
        <w:t xml:space="preserve"> </w:t>
      </w:r>
      <w:r w:rsidRPr="001C688F">
        <w:rPr>
          <w:szCs w:val="22"/>
        </w:rPr>
        <w:t>251(a),</w:t>
      </w:r>
      <w:r>
        <w:rPr>
          <w:szCs w:val="22"/>
        </w:rPr>
        <w:t xml:space="preserve"> </w:t>
      </w:r>
      <w:r w:rsidRPr="001C688F">
        <w:rPr>
          <w:szCs w:val="22"/>
        </w:rPr>
        <w:t>251(e),</w:t>
      </w:r>
      <w:r>
        <w:rPr>
          <w:szCs w:val="22"/>
        </w:rPr>
        <w:t xml:space="preserve"> </w:t>
      </w:r>
      <w:r w:rsidRPr="001C688F">
        <w:rPr>
          <w:szCs w:val="22"/>
        </w:rPr>
        <w:t>254(k),</w:t>
      </w:r>
      <w:r>
        <w:rPr>
          <w:szCs w:val="22"/>
        </w:rPr>
        <w:t xml:space="preserve"> </w:t>
      </w:r>
      <w:r w:rsidRPr="001C688F">
        <w:rPr>
          <w:szCs w:val="22"/>
        </w:rPr>
        <w:t>255,</w:t>
      </w:r>
      <w:r>
        <w:rPr>
          <w:szCs w:val="22"/>
        </w:rPr>
        <w:t xml:space="preserve"> </w:t>
      </w:r>
      <w:r w:rsidRPr="001C688F">
        <w:rPr>
          <w:szCs w:val="22"/>
        </w:rPr>
        <w:t>262,</w:t>
      </w:r>
      <w:r>
        <w:rPr>
          <w:szCs w:val="22"/>
        </w:rPr>
        <w:t xml:space="preserve"> </w:t>
      </w:r>
      <w:r w:rsidRPr="001C688F">
        <w:rPr>
          <w:szCs w:val="22"/>
        </w:rPr>
        <w:t>276,</w:t>
      </w:r>
      <w:r>
        <w:rPr>
          <w:szCs w:val="22"/>
        </w:rPr>
        <w:t xml:space="preserve"> </w:t>
      </w:r>
      <w:r w:rsidRPr="001C688F">
        <w:rPr>
          <w:szCs w:val="22"/>
        </w:rPr>
        <w:t>403(b)(2)(B),</w:t>
      </w:r>
      <w:r>
        <w:rPr>
          <w:szCs w:val="22"/>
        </w:rPr>
        <w:t xml:space="preserve"> </w:t>
      </w:r>
      <w:r w:rsidRPr="001C688F">
        <w:rPr>
          <w:szCs w:val="22"/>
        </w:rPr>
        <w:t>(c),</w:t>
      </w:r>
      <w:r>
        <w:rPr>
          <w:szCs w:val="22"/>
        </w:rPr>
        <w:t xml:space="preserve"> </w:t>
      </w:r>
      <w:r w:rsidRPr="001C688F">
        <w:rPr>
          <w:szCs w:val="22"/>
        </w:rPr>
        <w:t>616,</w:t>
      </w:r>
      <w:r>
        <w:rPr>
          <w:szCs w:val="22"/>
        </w:rPr>
        <w:t xml:space="preserve"> </w:t>
      </w:r>
      <w:r w:rsidRPr="001C688F">
        <w:rPr>
          <w:szCs w:val="22"/>
        </w:rPr>
        <w:t>620,</w:t>
      </w:r>
      <w:r>
        <w:rPr>
          <w:szCs w:val="22"/>
        </w:rPr>
        <w:t xml:space="preserve"> </w:t>
      </w:r>
      <w:r w:rsidRPr="001C688F">
        <w:rPr>
          <w:szCs w:val="22"/>
        </w:rPr>
        <w:t>716,</w:t>
      </w:r>
      <w:r>
        <w:rPr>
          <w:szCs w:val="22"/>
        </w:rPr>
        <w:t xml:space="preserve"> </w:t>
      </w:r>
      <w:r w:rsidRPr="001C688F">
        <w:rPr>
          <w:szCs w:val="22"/>
        </w:rPr>
        <w:t>1401-1473,</w:t>
      </w:r>
      <w:r>
        <w:rPr>
          <w:szCs w:val="22"/>
        </w:rPr>
        <w:t xml:space="preserve"> </w:t>
      </w:r>
      <w:r w:rsidRPr="001C688F">
        <w:rPr>
          <w:szCs w:val="22"/>
        </w:rPr>
        <w:t>unless</w:t>
      </w:r>
      <w:r>
        <w:rPr>
          <w:szCs w:val="22"/>
        </w:rPr>
        <w:t xml:space="preserve"> </w:t>
      </w:r>
      <w:r w:rsidRPr="001C688F">
        <w:rPr>
          <w:szCs w:val="22"/>
        </w:rPr>
        <w:t>otherwise</w:t>
      </w:r>
      <w:r>
        <w:rPr>
          <w:szCs w:val="22"/>
        </w:rPr>
        <w:t xml:space="preserve"> </w:t>
      </w:r>
      <w:r w:rsidRPr="001C688F">
        <w:rPr>
          <w:szCs w:val="22"/>
        </w:rPr>
        <w:t>noted;</w:t>
      </w:r>
      <w:r>
        <w:rPr>
          <w:szCs w:val="22"/>
        </w:rPr>
        <w:t xml:space="preserve"> </w:t>
      </w:r>
      <w:r w:rsidRPr="001C688F">
        <w:rPr>
          <w:szCs w:val="22"/>
        </w:rPr>
        <w:t>Pub.</w:t>
      </w:r>
      <w:r>
        <w:rPr>
          <w:szCs w:val="22"/>
        </w:rPr>
        <w:t xml:space="preserve"> </w:t>
      </w:r>
      <w:r w:rsidRPr="001C688F">
        <w:rPr>
          <w:szCs w:val="22"/>
        </w:rPr>
        <w:t>L.</w:t>
      </w:r>
      <w:r>
        <w:rPr>
          <w:szCs w:val="22"/>
        </w:rPr>
        <w:t xml:space="preserve"> </w:t>
      </w:r>
      <w:r w:rsidRPr="001C688F">
        <w:rPr>
          <w:szCs w:val="22"/>
        </w:rPr>
        <w:t>115-141,</w:t>
      </w:r>
      <w:r>
        <w:rPr>
          <w:szCs w:val="22"/>
        </w:rPr>
        <w:t xml:space="preserve"> </w:t>
      </w:r>
      <w:r w:rsidRPr="001C688F">
        <w:rPr>
          <w:szCs w:val="22"/>
        </w:rPr>
        <w:t>Div.</w:t>
      </w:r>
      <w:r>
        <w:rPr>
          <w:szCs w:val="22"/>
        </w:rPr>
        <w:t xml:space="preserve"> </w:t>
      </w:r>
      <w:r w:rsidRPr="001C688F">
        <w:rPr>
          <w:szCs w:val="22"/>
        </w:rPr>
        <w:t>P,</w:t>
      </w:r>
      <w:r>
        <w:rPr>
          <w:szCs w:val="22"/>
        </w:rPr>
        <w:t xml:space="preserve"> </w:t>
      </w:r>
      <w:r w:rsidRPr="001C688F">
        <w:rPr>
          <w:szCs w:val="22"/>
        </w:rPr>
        <w:t>sec.</w:t>
      </w:r>
      <w:r>
        <w:rPr>
          <w:szCs w:val="22"/>
        </w:rPr>
        <w:t xml:space="preserve"> </w:t>
      </w:r>
      <w:r w:rsidRPr="001C688F">
        <w:rPr>
          <w:szCs w:val="22"/>
        </w:rPr>
        <w:t>503,</w:t>
      </w:r>
      <w:r>
        <w:rPr>
          <w:szCs w:val="22"/>
        </w:rPr>
        <w:t xml:space="preserve"> </w:t>
      </w:r>
      <w:r w:rsidRPr="001C688F">
        <w:rPr>
          <w:szCs w:val="22"/>
        </w:rPr>
        <w:t>132</w:t>
      </w:r>
      <w:r>
        <w:rPr>
          <w:szCs w:val="22"/>
        </w:rPr>
        <w:t xml:space="preserve"> </w:t>
      </w:r>
      <w:r w:rsidRPr="001C688F">
        <w:rPr>
          <w:szCs w:val="22"/>
        </w:rPr>
        <w:t>Stat.</w:t>
      </w:r>
      <w:r>
        <w:rPr>
          <w:szCs w:val="22"/>
        </w:rPr>
        <w:t xml:space="preserve"> </w:t>
      </w:r>
      <w:r w:rsidRPr="001C688F">
        <w:rPr>
          <w:szCs w:val="22"/>
        </w:rPr>
        <w:t>348,</w:t>
      </w:r>
      <w:r>
        <w:rPr>
          <w:szCs w:val="22"/>
        </w:rPr>
        <w:t xml:space="preserve"> </w:t>
      </w:r>
      <w:r w:rsidRPr="001C688F">
        <w:rPr>
          <w:szCs w:val="22"/>
        </w:rPr>
        <w:t>1091;</w:t>
      </w:r>
      <w:r>
        <w:rPr>
          <w:szCs w:val="22"/>
        </w:rPr>
        <w:t xml:space="preserve"> </w:t>
      </w:r>
      <w:r w:rsidRPr="001C688F">
        <w:rPr>
          <w:szCs w:val="22"/>
        </w:rPr>
        <w:t>Pub.</w:t>
      </w:r>
      <w:r>
        <w:rPr>
          <w:szCs w:val="22"/>
        </w:rPr>
        <w:t xml:space="preserve"> </w:t>
      </w:r>
      <w:r w:rsidRPr="001C688F">
        <w:rPr>
          <w:szCs w:val="22"/>
        </w:rPr>
        <w:t>L.</w:t>
      </w:r>
      <w:r>
        <w:rPr>
          <w:szCs w:val="22"/>
        </w:rPr>
        <w:t xml:space="preserve"> </w:t>
      </w:r>
      <w:r w:rsidRPr="001C688F">
        <w:rPr>
          <w:szCs w:val="22"/>
        </w:rPr>
        <w:t>117-338,</w:t>
      </w:r>
      <w:r>
        <w:rPr>
          <w:szCs w:val="22"/>
        </w:rPr>
        <w:t xml:space="preserve"> </w:t>
      </w:r>
      <w:r w:rsidRPr="001C688F">
        <w:rPr>
          <w:szCs w:val="22"/>
        </w:rPr>
        <w:t>136</w:t>
      </w:r>
      <w:r>
        <w:rPr>
          <w:szCs w:val="22"/>
        </w:rPr>
        <w:t xml:space="preserve"> </w:t>
      </w:r>
      <w:r w:rsidRPr="001C688F">
        <w:rPr>
          <w:szCs w:val="22"/>
        </w:rPr>
        <w:t>Stat.</w:t>
      </w:r>
      <w:r>
        <w:rPr>
          <w:szCs w:val="22"/>
        </w:rPr>
        <w:t xml:space="preserve"> </w:t>
      </w:r>
      <w:r w:rsidRPr="001C688F">
        <w:rPr>
          <w:szCs w:val="22"/>
        </w:rPr>
        <w:t>6156.</w:t>
      </w:r>
    </w:p>
    <w:p w:rsidR="001747A8" w:rsidP="001747A8" w14:paraId="1688360D" w14:textId="6E433189">
      <w:pPr>
        <w:numPr>
          <w:ilvl w:val="0"/>
          <w:numId w:val="7"/>
        </w:numPr>
        <w:spacing w:after="120"/>
        <w:rPr>
          <w:szCs w:val="22"/>
        </w:rPr>
      </w:pPr>
      <w:r>
        <w:rPr>
          <w:szCs w:val="22"/>
        </w:rPr>
        <w:t>Amend § 64.601 by:</w:t>
      </w:r>
    </w:p>
    <w:p w:rsidR="001747A8" w:rsidP="005825DB" w14:paraId="028E5895" w14:textId="77777777">
      <w:pPr>
        <w:spacing w:after="120"/>
        <w:ind w:left="360" w:firstLine="360"/>
        <w:rPr>
          <w:szCs w:val="22"/>
        </w:rPr>
      </w:pPr>
      <w:r>
        <w:rPr>
          <w:szCs w:val="22"/>
        </w:rPr>
        <w:t>a. Removing paragraph (a)(7); and</w:t>
      </w:r>
    </w:p>
    <w:p w:rsidR="001747A8" w:rsidP="005825DB" w14:paraId="29E90706" w14:textId="77777777">
      <w:pPr>
        <w:spacing w:after="120"/>
        <w:ind w:left="360" w:firstLine="360"/>
        <w:rPr>
          <w:szCs w:val="22"/>
        </w:rPr>
      </w:pPr>
      <w:r>
        <w:rPr>
          <w:szCs w:val="22"/>
        </w:rPr>
        <w:t>b. Redesignating paragraphs (a)(8) through (a)(62) as paragraphs (a)(7) through (a)(61).</w:t>
      </w:r>
    </w:p>
    <w:p w:rsidR="001747A8" w:rsidRPr="0095568C" w:rsidP="001747A8" w14:paraId="6BBF422D" w14:textId="77777777">
      <w:pPr>
        <w:numPr>
          <w:ilvl w:val="0"/>
          <w:numId w:val="7"/>
        </w:numPr>
        <w:spacing w:after="120"/>
        <w:rPr>
          <w:szCs w:val="22"/>
        </w:rPr>
      </w:pPr>
      <w:r w:rsidRPr="0095568C">
        <w:rPr>
          <w:szCs w:val="22"/>
        </w:rPr>
        <w:t xml:space="preserve">Amend § 64.604 by revising paragraph (b)(1) to read as follows: </w:t>
      </w:r>
    </w:p>
    <w:p w:rsidR="001747A8" w:rsidRPr="00703DE8" w:rsidP="001747A8" w14:paraId="235AB6C1" w14:textId="77777777">
      <w:r>
        <w:rPr>
          <w:b/>
          <w:bCs/>
        </w:rPr>
        <w:t>§ 64.604 Mandatory minimum standards.</w:t>
      </w:r>
    </w:p>
    <w:p w:rsidR="001747A8" w:rsidP="001747A8" w14:paraId="6A21CE12" w14:textId="77777777"/>
    <w:p w:rsidR="001747A8" w:rsidP="001747A8" w14:paraId="2DEB7F14" w14:textId="77777777">
      <w:pPr>
        <w:spacing w:after="240"/>
      </w:pPr>
      <w:r>
        <w:t xml:space="preserve">* * * * * </w:t>
      </w:r>
    </w:p>
    <w:p w:rsidR="001747A8" w:rsidP="001747A8" w14:paraId="3E76E361" w14:textId="77777777">
      <w:r w:rsidRPr="00620EDB">
        <w:t xml:space="preserve">(b) Technical Standards — </w:t>
      </w:r>
    </w:p>
    <w:p w:rsidR="001747A8" w:rsidP="001747A8" w14:paraId="71FDD428" w14:textId="77777777"/>
    <w:p w:rsidR="001747A8" w:rsidP="001747A8" w14:paraId="31C0ED28" w14:textId="77777777">
      <w:pPr>
        <w:spacing w:after="240"/>
      </w:pPr>
      <w:r>
        <w:t>(</w:t>
      </w:r>
      <w:r w:rsidRPr="00620EDB">
        <w:t xml:space="preserve">1) </w:t>
      </w:r>
      <w:r w:rsidRPr="00620EDB">
        <w:rPr>
          <w:i/>
          <w:iCs/>
        </w:rPr>
        <w:t>Baudot</w:t>
      </w:r>
      <w:r w:rsidRPr="00620EDB">
        <w:t xml:space="preserve">. TTY-based relay service shall be capable of communicating with Baudot format.  </w:t>
      </w:r>
    </w:p>
    <w:p w:rsidR="001747A8" w:rsidP="001747A8" w14:paraId="5156DD4A" w14:textId="77777777">
      <w:pPr>
        <w:rPr>
          <w:bCs/>
        </w:rPr>
        <w:sectPr w:rsidSect="001747A8">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720" w:left="1440" w:header="720" w:footer="720" w:gutter="0"/>
          <w:pgNumType w:start="1"/>
          <w:cols w:space="720"/>
          <w:noEndnote/>
          <w:titlePg/>
          <w:docGrid w:linePitch="299"/>
        </w:sectPr>
      </w:pPr>
      <w:r>
        <w:rPr>
          <w:bCs/>
        </w:rPr>
        <w:t>* * * * *</w:t>
      </w:r>
    </w:p>
    <w:p w:rsidR="001747A8" w:rsidRPr="00EF6ACA" w:rsidP="00EF6ACA" w14:paraId="0C743DD9" w14:textId="77777777">
      <w:pPr>
        <w:jc w:val="center"/>
        <w:rPr>
          <w:b/>
          <w:bCs/>
        </w:rPr>
      </w:pPr>
      <w:r w:rsidRPr="00EF6ACA">
        <w:rPr>
          <w:b/>
          <w:bCs/>
        </w:rPr>
        <w:t>APPENDIX C</w:t>
      </w:r>
    </w:p>
    <w:p w:rsidR="001747A8" w:rsidP="00EF6ACA" w14:paraId="627558C4" w14:textId="77777777">
      <w:pPr>
        <w:jc w:val="center"/>
        <w:rPr>
          <w:b/>
          <w:bCs/>
        </w:rPr>
      </w:pPr>
      <w:r w:rsidRPr="00EF6ACA">
        <w:rPr>
          <w:b/>
          <w:bCs/>
        </w:rPr>
        <w:t>Final Regulatory Flexibility Analysis</w:t>
      </w:r>
    </w:p>
    <w:p w:rsidR="00EF6ACA" w:rsidRPr="00F21752" w:rsidP="00EF6ACA" w14:paraId="3A1DE955" w14:textId="77777777">
      <w:pPr>
        <w:jc w:val="center"/>
      </w:pPr>
    </w:p>
    <w:p w:rsidR="001747A8" w:rsidRPr="00D96EFE" w:rsidP="001747A8" w14:paraId="4ADB341D" w14:textId="77777777">
      <w:pPr>
        <w:pStyle w:val="ParaNum"/>
        <w:numPr>
          <w:ilvl w:val="0"/>
          <w:numId w:val="8"/>
        </w:numPr>
        <w:tabs>
          <w:tab w:val="clear" w:pos="1080"/>
          <w:tab w:val="num" w:pos="1440"/>
        </w:tabs>
      </w:pPr>
      <w:r w:rsidRPr="00D446A6">
        <w:t>As required by the Regulatory Flexibility Act of 1980, as amended (RFA),</w:t>
      </w:r>
      <w:r>
        <w:rPr>
          <w:rStyle w:val="StyleFootnoteReference"/>
        </w:rPr>
        <w:footnoteReference w:id="49"/>
      </w:r>
      <w:r w:rsidRPr="00D446A6">
        <w:t xml:space="preserve"> the </w:t>
      </w:r>
      <w:r>
        <w:t xml:space="preserve">Federal Communications </w:t>
      </w:r>
      <w:r w:rsidRPr="00D446A6">
        <w:t xml:space="preserve">Commission </w:t>
      </w:r>
      <w:r>
        <w:t xml:space="preserve">(Commission) </w:t>
      </w:r>
      <w:r w:rsidRPr="00D446A6">
        <w:t xml:space="preserve">incorporated </w:t>
      </w:r>
      <w:r w:rsidRPr="00855675">
        <w:rPr>
          <w:snapToGrid/>
          <w:szCs w:val="22"/>
        </w:rPr>
        <w:t xml:space="preserve">an Initial Regulatory Flexibility Analysis (IRFA) in the </w:t>
      </w:r>
      <w:r w:rsidRPr="00C454B8">
        <w:rPr>
          <w:i/>
          <w:iCs/>
          <w:snapToGrid/>
          <w:szCs w:val="22"/>
        </w:rPr>
        <w:t>Telecommunications Relay Services and Speech-to-Speech Services for Individuals with Hearing and Speech Disabilities</w:t>
      </w:r>
      <w:r>
        <w:rPr>
          <w:snapToGrid/>
          <w:szCs w:val="22"/>
        </w:rPr>
        <w:t xml:space="preserve">, </w:t>
      </w:r>
      <w:r w:rsidRPr="000025B2">
        <w:rPr>
          <w:i/>
          <w:iCs/>
          <w:snapToGrid/>
          <w:szCs w:val="22"/>
        </w:rPr>
        <w:t>Notice of Proposed Rulemaking</w:t>
      </w:r>
      <w:r w:rsidRPr="00C454B8">
        <w:rPr>
          <w:snapToGrid/>
          <w:szCs w:val="22"/>
        </w:rPr>
        <w:t xml:space="preserve"> </w:t>
      </w:r>
      <w:r>
        <w:rPr>
          <w:snapToGrid/>
          <w:szCs w:val="22"/>
        </w:rPr>
        <w:t>(</w:t>
      </w:r>
      <w:r w:rsidRPr="00D96EFE">
        <w:rPr>
          <w:i/>
          <w:iCs/>
          <w:snapToGrid/>
          <w:szCs w:val="22"/>
        </w:rPr>
        <w:t xml:space="preserve">2025 ASCII </w:t>
      </w:r>
      <w:r>
        <w:rPr>
          <w:i/>
          <w:iCs/>
          <w:snapToGrid/>
          <w:szCs w:val="22"/>
        </w:rPr>
        <w:t>Notice</w:t>
      </w:r>
      <w:r>
        <w:rPr>
          <w:snapToGrid/>
          <w:szCs w:val="22"/>
        </w:rPr>
        <w:t>)</w:t>
      </w:r>
      <w:r w:rsidRPr="00D96EFE">
        <w:t>,</w:t>
      </w:r>
      <w:r w:rsidRPr="00D446A6">
        <w:t xml:space="preserve"> released in </w:t>
      </w:r>
      <w:r w:rsidRPr="00D96EFE">
        <w:t>June 2025.</w:t>
      </w:r>
      <w:r>
        <w:rPr>
          <w:rStyle w:val="StyleFootnoteReference"/>
        </w:rPr>
        <w:footnoteReference w:id="50"/>
      </w:r>
      <w:r w:rsidRPr="00D446A6">
        <w:t xml:space="preserve">  </w:t>
      </w:r>
      <w:r w:rsidRPr="00855675">
        <w:rPr>
          <w:snapToGrid/>
          <w:szCs w:val="22"/>
        </w:rPr>
        <w:t xml:space="preserve">The Commission sought written public comment on the proposals in the </w:t>
      </w:r>
      <w:r>
        <w:rPr>
          <w:i/>
          <w:iCs/>
          <w:snapToGrid/>
          <w:szCs w:val="22"/>
        </w:rPr>
        <w:t>2025 ASCII Notice</w:t>
      </w:r>
      <w:r w:rsidRPr="00D446A6">
        <w:t>, including comment on the I</w:t>
      </w:r>
      <w:r>
        <w:t>RF</w:t>
      </w:r>
      <w:r w:rsidRPr="00D446A6">
        <w:t xml:space="preserve">A.  </w:t>
      </w:r>
      <w:r w:rsidRPr="00855675">
        <w:rPr>
          <w:snapToGrid/>
          <w:szCs w:val="22"/>
        </w:rPr>
        <w:t>No comments were filed addressing the IRFA.  This Final Regulatory Flexibility Analysis (FRFA) conforms to the RFA and it (</w:t>
      </w:r>
      <w:r w:rsidRPr="00D446A6">
        <w:t xml:space="preserve">or summaries thereof) will be published in the </w:t>
      </w:r>
      <w:r w:rsidRPr="00855675">
        <w:rPr>
          <w:iCs/>
        </w:rPr>
        <w:t>Federal Register</w:t>
      </w:r>
      <w:r w:rsidRPr="00855675">
        <w:rPr>
          <w:snapToGrid/>
          <w:szCs w:val="22"/>
        </w:rPr>
        <w:t>.</w:t>
      </w:r>
      <w:r>
        <w:rPr>
          <w:rStyle w:val="StyleFootnoteReference"/>
        </w:rPr>
        <w:footnoteReference w:id="51"/>
      </w:r>
    </w:p>
    <w:p w:rsidR="001747A8" w:rsidP="001747A8" w14:paraId="566B1F5D" w14:textId="77777777">
      <w:pPr>
        <w:pStyle w:val="Heading2"/>
      </w:pPr>
      <w:bookmarkStart w:id="0" w:name="_Toc262465660"/>
      <w:bookmarkStart w:id="1" w:name="_Toc310524628"/>
      <w:bookmarkStart w:id="2" w:name="_Toc310524896"/>
      <w:bookmarkStart w:id="3" w:name="_Toc314645318"/>
      <w:bookmarkStart w:id="4" w:name="_Toc314648949"/>
      <w:bookmarkStart w:id="5" w:name="_Toc314738875"/>
      <w:bookmarkStart w:id="6" w:name="_Toc314738918"/>
      <w:bookmarkStart w:id="7" w:name="_Toc393478008"/>
      <w:bookmarkStart w:id="8" w:name="_Toc394658129"/>
      <w:bookmarkStart w:id="9" w:name="_Toc394659974"/>
      <w:bookmarkStart w:id="10" w:name="_Toc394678814"/>
      <w:bookmarkStart w:id="11" w:name="_Toc394679528"/>
      <w:bookmarkStart w:id="12" w:name="_Toc395264435"/>
      <w:bookmarkStart w:id="13" w:name="_Toc397508650"/>
      <w:bookmarkStart w:id="14" w:name="_Toc397604500"/>
      <w:bookmarkStart w:id="15" w:name="_Toc397686588"/>
      <w:bookmarkStart w:id="16" w:name="_Toc399935851"/>
      <w:bookmarkStart w:id="17" w:name="_Toc403121201"/>
      <w:bookmarkStart w:id="18" w:name="_Toc465357613"/>
      <w:bookmarkStart w:id="19" w:name="_Toc468201215"/>
      <w:bookmarkStart w:id="20" w:name="_Toc468702539"/>
      <w:bookmarkStart w:id="21" w:name="_Toc473563723"/>
      <w:bookmarkStart w:id="22" w:name="_Toc474348299"/>
      <w:bookmarkStart w:id="23" w:name="_Toc474351636"/>
      <w:bookmarkStart w:id="24" w:name="_Toc474352567"/>
      <w:bookmarkStart w:id="25" w:name="_Toc474353429"/>
      <w:bookmarkStart w:id="26" w:name="_Toc474532754"/>
      <w:bookmarkStart w:id="27" w:name="_Toc474534420"/>
      <w:bookmarkStart w:id="28" w:name="_Toc474752047"/>
      <w:bookmarkStart w:id="29" w:name="_Toc474947286"/>
      <w:bookmarkStart w:id="30" w:name="_Toc475028086"/>
      <w:bookmarkStart w:id="31" w:name="_Toc475537249"/>
      <w:bookmarkStart w:id="32" w:name="_Toc475899449"/>
      <w:bookmarkStart w:id="33" w:name="_Toc477805783"/>
      <w:bookmarkStart w:id="34" w:name="_Toc477954217"/>
      <w:r>
        <w:t xml:space="preserve">Need for, and Objectives of, the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t>Rules</w:t>
      </w:r>
    </w:p>
    <w:p w:rsidR="001747A8" w:rsidRPr="004E1435" w:rsidP="001747A8" w14:paraId="669F2307" w14:textId="77777777">
      <w:pPr>
        <w:pStyle w:val="ParaNum"/>
      </w:pPr>
      <w:r w:rsidRPr="004E1435">
        <w:t xml:space="preserve">In the </w:t>
      </w:r>
      <w:r>
        <w:rPr>
          <w:i/>
          <w:iCs/>
        </w:rPr>
        <w:t>Report and Order</w:t>
      </w:r>
      <w:r w:rsidRPr="004E1435">
        <w:t>, the Commission amend</w:t>
      </w:r>
      <w:r>
        <w:t>s</w:t>
      </w:r>
      <w:r w:rsidRPr="004E1435">
        <w:t xml:space="preserve"> its rules to eliminate the requirement that Text Telephony (TTY)</w:t>
      </w:r>
      <w:r>
        <w:t>-based</w:t>
      </w:r>
      <w:r w:rsidRPr="004E1435">
        <w:t xml:space="preserve"> relay service providers offer users the service in the American Standard Code for Information Interexchange (ASCII) format, as it has become an outdated and infrequently used format.</w:t>
      </w:r>
      <w:r>
        <w:rPr>
          <w:vertAlign w:val="superscript"/>
        </w:rPr>
        <w:footnoteReference w:id="52"/>
      </w:r>
      <w:r w:rsidRPr="004E1435">
        <w:t xml:space="preserve">  TTY</w:t>
      </w:r>
      <w:r>
        <w:t>-based</w:t>
      </w:r>
      <w:r w:rsidRPr="004E1435">
        <w:t xml:space="preserve"> </w:t>
      </w:r>
      <w:r w:rsidRPr="00394E6C">
        <w:t xml:space="preserve">telecommunications relay service (TRS) </w:t>
      </w:r>
      <w:r w:rsidRPr="004E1435">
        <w:t>is a text-based relay service.  To make a call, a TTY user calls a TRS center and types the number of the person he or she wishes to call.  A Communications Assistant (CA) at the relay center then makes a voice telephone call to the other party to the call, and relays the call back and forth between the parties by speaking what a text user types, and typing what a voice telephone user speaks.</w:t>
      </w:r>
      <w:r>
        <w:rPr>
          <w:vertAlign w:val="superscript"/>
        </w:rPr>
        <w:footnoteReference w:id="53"/>
      </w:r>
      <w:r w:rsidRPr="004E1435">
        <w:t xml:space="preserve">   </w:t>
      </w:r>
    </w:p>
    <w:p w:rsidR="001747A8" w:rsidRPr="004E1435" w:rsidP="001747A8" w14:paraId="020FA122" w14:textId="77777777">
      <w:pPr>
        <w:pStyle w:val="ParaNum"/>
      </w:pPr>
      <w:r w:rsidRPr="004E1435">
        <w:t>In addition to the near-obsolescence of the ASCII format, the Commission takes these steps because TTY users also have access to Baudot format,</w:t>
      </w:r>
      <w:r>
        <w:rPr>
          <w:vertAlign w:val="superscript"/>
        </w:rPr>
        <w:footnoteReference w:id="54"/>
      </w:r>
      <w:r w:rsidRPr="004E1435">
        <w:t xml:space="preserve"> which is more commonly used.  At present, there are only two providers of TTY-based telecommunications relay service, and usage of ASCII-format TTY totaled less than 100 minutes during three months in 2022, with less than 10 users placing calls in any month.</w:t>
      </w:r>
      <w:r>
        <w:rPr>
          <w:vertAlign w:val="superscript"/>
        </w:rPr>
        <w:footnoteReference w:id="55"/>
      </w:r>
      <w:r w:rsidRPr="004E1435">
        <w:t xml:space="preserve">  Based on these reports, it appears that total ASCII usage of TTY-based TRS was limited to approximately 0.01% of total TTY-based</w:t>
      </w:r>
      <w:r>
        <w:t xml:space="preserve"> TRS</w:t>
      </w:r>
      <w:r w:rsidRPr="004E1435">
        <w:t xml:space="preserve"> minutes for that period, while Baudot format TTY would account for the remaining TTY-based </w:t>
      </w:r>
      <w:r>
        <w:t xml:space="preserve">TRS </w:t>
      </w:r>
      <w:r w:rsidRPr="004E1435">
        <w:t>minutes.</w:t>
      </w:r>
      <w:r>
        <w:rPr>
          <w:vertAlign w:val="superscript"/>
        </w:rPr>
        <w:footnoteReference w:id="56"/>
      </w:r>
      <w:r w:rsidRPr="004E1435">
        <w:t xml:space="preserve">  Furthermore, retaining the requirement to support ASCII-format TTY</w:t>
      </w:r>
      <w:r>
        <w:t>-based TRS</w:t>
      </w:r>
      <w:r w:rsidRPr="004E1435">
        <w:t xml:space="preserve"> limits the ability of TTY</w:t>
      </w:r>
      <w:r>
        <w:t>-based TRS</w:t>
      </w:r>
      <w:r w:rsidRPr="004E1435">
        <w:t xml:space="preserve"> providers to upgrade and improve their networks for delivery of enhanced services.</w:t>
      </w:r>
      <w:r>
        <w:rPr>
          <w:vertAlign w:val="superscript"/>
        </w:rPr>
        <w:footnoteReference w:id="57"/>
      </w:r>
      <w:r w:rsidRPr="004E1435">
        <w:t xml:space="preserve">  Eliminating the ASCII-support requirement will </w:t>
      </w:r>
      <w:r w:rsidRPr="004E1435">
        <w:t>ultimately benefit both TTY</w:t>
      </w:r>
      <w:r>
        <w:t>-based TRS</w:t>
      </w:r>
      <w:r w:rsidRPr="004E1435">
        <w:t xml:space="preserve"> users and providers by facilitating network upgrades by providers while TTY</w:t>
      </w:r>
      <w:r>
        <w:t>-based TRS</w:t>
      </w:r>
      <w:r w:rsidRPr="004E1435">
        <w:t xml:space="preserve"> users can continue communicating with Baudot-format TTY or other forms of text-based TRS.</w:t>
      </w:r>
    </w:p>
    <w:p w:rsidR="001747A8" w:rsidP="001747A8" w14:paraId="2CA543CF" w14:textId="77777777">
      <w:pPr>
        <w:pStyle w:val="Heading2"/>
      </w:pPr>
      <w:bookmarkStart w:id="35" w:name="_Toc468201216"/>
      <w:bookmarkStart w:id="36" w:name="_Toc468702540"/>
      <w:bookmarkStart w:id="37" w:name="_Toc473563724"/>
      <w:bookmarkStart w:id="38" w:name="_Toc474348300"/>
      <w:bookmarkStart w:id="39" w:name="_Toc474351637"/>
      <w:bookmarkStart w:id="40" w:name="_Toc474352568"/>
      <w:bookmarkStart w:id="41" w:name="_Toc474353430"/>
      <w:bookmarkStart w:id="42" w:name="_Toc474532755"/>
      <w:bookmarkStart w:id="43" w:name="_Toc474534421"/>
      <w:bookmarkStart w:id="44" w:name="_Toc474752048"/>
      <w:bookmarkStart w:id="45" w:name="_Toc474947288"/>
      <w:bookmarkStart w:id="46" w:name="_Toc475028088"/>
      <w:bookmarkStart w:id="47" w:name="_Toc475537251"/>
      <w:bookmarkStart w:id="48" w:name="_Toc475899451"/>
      <w:bookmarkStart w:id="49" w:name="_Toc477805784"/>
      <w:bookmarkStart w:id="50" w:name="_Toc477954218"/>
      <w:r w:rsidRPr="00B87C2D">
        <w:t>Summary of Significant Issues Raised by Public Comments in Response to the IRFA</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1747A8" w:rsidP="001747A8" w14:paraId="5B27275A" w14:textId="77777777">
      <w:pPr>
        <w:pStyle w:val="ParaNum"/>
        <w:numPr>
          <w:ilvl w:val="0"/>
          <w:numId w:val="8"/>
        </w:numPr>
        <w:tabs>
          <w:tab w:val="clear" w:pos="1080"/>
          <w:tab w:val="num" w:pos="1440"/>
        </w:tabs>
      </w:pPr>
      <w:r w:rsidRPr="003F3EC5">
        <w:t>No comments were filed addressing the impact of the proposed rules on small entities</w:t>
      </w:r>
      <w:r>
        <w:t>.</w:t>
      </w:r>
    </w:p>
    <w:p w:rsidR="001747A8" w:rsidP="001747A8" w14:paraId="081D9FA9" w14:textId="77777777">
      <w:pPr>
        <w:pStyle w:val="Heading2"/>
      </w:pPr>
      <w:bookmarkStart w:id="51" w:name="_Toc468201217"/>
      <w:bookmarkStart w:id="52" w:name="_Toc468702541"/>
      <w:bookmarkStart w:id="53" w:name="_Toc473563725"/>
      <w:bookmarkStart w:id="54" w:name="_Toc474348301"/>
      <w:bookmarkStart w:id="55" w:name="_Toc474351638"/>
      <w:bookmarkStart w:id="56" w:name="_Toc474352569"/>
      <w:bookmarkStart w:id="57" w:name="_Toc474353431"/>
      <w:bookmarkStart w:id="58" w:name="_Toc474532756"/>
      <w:bookmarkStart w:id="59" w:name="_Toc474534422"/>
      <w:bookmarkStart w:id="60" w:name="_Toc474752049"/>
      <w:bookmarkStart w:id="61" w:name="_Toc474947289"/>
      <w:bookmarkStart w:id="62" w:name="_Toc475028089"/>
      <w:bookmarkStart w:id="63" w:name="_Toc475537252"/>
      <w:bookmarkStart w:id="64" w:name="_Toc475899452"/>
      <w:bookmarkStart w:id="65" w:name="_Toc477805785"/>
      <w:bookmarkStart w:id="66" w:name="_Toc477954219"/>
      <w:r w:rsidRPr="008F7B02">
        <w:t>Response to Comments by the Chief</w:t>
      </w:r>
      <w:r>
        <w:t xml:space="preserve"> Counsel </w:t>
      </w:r>
      <w:bookmarkStart w:id="67" w:name="_Hlk217914514"/>
      <w:r>
        <w:t>for the Small Business Administration</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Office of Advocacy</w:t>
      </w:r>
      <w:bookmarkEnd w:id="67"/>
    </w:p>
    <w:p w:rsidR="001747A8" w:rsidP="001747A8" w14:paraId="7382C273" w14:textId="77777777">
      <w:pPr>
        <w:pStyle w:val="ParaNum"/>
        <w:numPr>
          <w:ilvl w:val="0"/>
          <w:numId w:val="8"/>
        </w:numPr>
        <w:tabs>
          <w:tab w:val="clear" w:pos="1080"/>
          <w:tab w:val="num" w:pos="1440"/>
        </w:tabs>
      </w:pPr>
      <w:r w:rsidRPr="0044115F">
        <w:t>Pursuant to the Small Business Jobs Act of 2010, which amended the RFA,</w:t>
      </w:r>
      <w:r>
        <w:rPr>
          <w:rStyle w:val="StyleFootnoteReference"/>
        </w:rPr>
        <w:footnoteReference w:id="58"/>
      </w:r>
      <w:r w:rsidRPr="0044115F">
        <w:t xml:space="preserve"> the Commission is required to respond to any comments filed by the Chief Counsel for </w:t>
      </w:r>
      <w:r>
        <w:t>t</w:t>
      </w:r>
      <w:r w:rsidRPr="0044115F">
        <w:t>he Small Business Administration (SBA)</w:t>
      </w:r>
      <w:r>
        <w:t xml:space="preserve"> Office of Advocacy</w:t>
      </w:r>
      <w:r w:rsidRPr="0044115F">
        <w:t xml:space="preserve">, and </w:t>
      </w:r>
      <w:r>
        <w:t xml:space="preserve">also </w:t>
      </w:r>
      <w:r w:rsidRPr="0044115F">
        <w:t>provide a detailed statement of any change</w:t>
      </w:r>
      <w:r w:rsidRPr="00A65919">
        <w:t xml:space="preserve"> made to the </w:t>
      </w:r>
      <w:r>
        <w:t>propose</w:t>
      </w:r>
      <w:r w:rsidRPr="00D874FB">
        <w:t>d rules</w:t>
      </w:r>
      <w:r w:rsidRPr="00A65919">
        <w:t xml:space="preserve"> as a result of those comments.</w:t>
      </w:r>
      <w:r>
        <w:rPr>
          <w:rStyle w:val="StyleFootnoteReference"/>
        </w:rPr>
        <w:footnoteReference w:id="59"/>
      </w:r>
      <w:r>
        <w:t xml:space="preserve">  </w:t>
      </w:r>
      <w:r w:rsidRPr="006C2915">
        <w:t>The Chief Counsel did not file any comments in response to the proposed rules in this proceeding.</w:t>
      </w:r>
    </w:p>
    <w:p w:rsidR="001747A8" w:rsidP="001747A8" w14:paraId="7A6AAE7C" w14:textId="77777777">
      <w:pPr>
        <w:pStyle w:val="Heading2"/>
      </w:pPr>
      <w:bookmarkStart w:id="68" w:name="_Toc468201218"/>
      <w:bookmarkStart w:id="69" w:name="_Toc468702542"/>
      <w:bookmarkStart w:id="70" w:name="_Toc473563726"/>
      <w:bookmarkStart w:id="71" w:name="_Toc474348302"/>
      <w:bookmarkStart w:id="72" w:name="_Toc474351639"/>
      <w:bookmarkStart w:id="73" w:name="_Toc474352570"/>
      <w:bookmarkStart w:id="74" w:name="_Toc474353432"/>
      <w:bookmarkStart w:id="75" w:name="_Toc474532757"/>
      <w:bookmarkStart w:id="76" w:name="_Toc474534423"/>
      <w:bookmarkStart w:id="77" w:name="_Toc474752050"/>
      <w:bookmarkStart w:id="78" w:name="_Toc474947290"/>
      <w:bookmarkStart w:id="79" w:name="_Toc475028090"/>
      <w:bookmarkStart w:id="80" w:name="_Toc475537253"/>
      <w:bookmarkStart w:id="81" w:name="_Toc475899453"/>
      <w:bookmarkStart w:id="82" w:name="_Toc477805786"/>
      <w:bookmarkStart w:id="83" w:name="_Toc477954220"/>
      <w:r w:rsidRPr="0044115F">
        <w:t>Description and Estimate of the Number of Small Entities to</w:t>
      </w:r>
      <w:r w:rsidRPr="00C80C89">
        <w:t xml:space="preserve"> Which </w:t>
      </w:r>
      <w:r>
        <w:t xml:space="preserve">the </w:t>
      </w:r>
      <w:r w:rsidRPr="00C80C89">
        <w:t>Rules Will Apply</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1747A8" w:rsidP="001747A8" w14:paraId="69B4BCDC" w14:textId="77777777">
      <w:pPr>
        <w:pStyle w:val="ParaNum"/>
        <w:numPr>
          <w:ilvl w:val="0"/>
          <w:numId w:val="8"/>
        </w:numPr>
        <w:tabs>
          <w:tab w:val="clear" w:pos="1080"/>
          <w:tab w:val="num" w:pos="1440"/>
        </w:tabs>
      </w:pPr>
      <w:r w:rsidRPr="0038789F">
        <w:t>The RFA directs agencies to provide a description of</w:t>
      </w:r>
      <w:r>
        <w:t>,</w:t>
      </w:r>
      <w:r w:rsidRPr="0038789F">
        <w:t xml:space="preserve"> and where feasible, an estimate of the number of small entities that may be affected by the </w:t>
      </w:r>
      <w:r>
        <w:t>adopted rules</w:t>
      </w:r>
      <w:r w:rsidRPr="0038789F">
        <w:t>.</w:t>
      </w:r>
      <w:r>
        <w:rPr>
          <w:vertAlign w:val="superscript"/>
        </w:rPr>
        <w:footnoteReference w:id="60"/>
      </w:r>
      <w:r w:rsidRPr="0038789F">
        <w:t xml:space="preserve">  The RFA generally defines the term “small entity” as having the same meaning as the terms “small business,” “small organization,” and “small governmental jurisdiction.”</w:t>
      </w:r>
      <w:r>
        <w:rPr>
          <w:vertAlign w:val="superscript"/>
        </w:rPr>
        <w:footnoteReference w:id="61"/>
      </w:r>
      <w:r w:rsidRPr="0038789F">
        <w:t xml:space="preserve">  </w:t>
      </w:r>
      <w:r w:rsidRPr="008E14AE">
        <w:t>In addition, the term “small business” has the same meaning as the term “small business concern” under the Small Business Act.</w:t>
      </w:r>
      <w:r>
        <w:rPr>
          <w:vertAlign w:val="superscript"/>
        </w:rPr>
        <w:footnoteReference w:id="62"/>
      </w:r>
      <w:r w:rsidRPr="008E14AE">
        <w:t xml:space="preserve">  A “small business concern” is one which: (1) is independently owned and operated; (2) is not dominant in its field of operation; and (3) satisfies any additional criteria established by the SBA.</w:t>
      </w:r>
      <w:r>
        <w:rPr>
          <w:vertAlign w:val="superscript"/>
        </w:rPr>
        <w:footnoteReference w:id="63"/>
      </w:r>
      <w:r w:rsidRPr="008E14AE">
        <w:t xml:space="preserve">  </w:t>
      </w:r>
      <w:r w:rsidRPr="0038789F">
        <w:t>The SBA establishes</w:t>
      </w:r>
      <w:r>
        <w:t xml:space="preserve"> </w:t>
      </w:r>
      <w:r w:rsidRPr="0038789F">
        <w:t>small business size standards that agencies are required to use when promulgating regulations relating to small businesses; agencies may establish alternative size standards for use in such programs, but must consult and obtain approval from SBA before doing so.</w:t>
      </w:r>
      <w:r>
        <w:rPr>
          <w:vertAlign w:val="superscript"/>
        </w:rPr>
        <w:footnoteReference w:id="64"/>
      </w:r>
    </w:p>
    <w:p w:rsidR="001747A8" w:rsidP="001747A8" w14:paraId="55BE40D4" w14:textId="77777777">
      <w:pPr>
        <w:pStyle w:val="ParaNum"/>
        <w:numPr>
          <w:ilvl w:val="0"/>
          <w:numId w:val="8"/>
        </w:numPr>
        <w:tabs>
          <w:tab w:val="clear" w:pos="1080"/>
          <w:tab w:val="num" w:pos="1440"/>
        </w:tabs>
      </w:pPr>
      <w:r w:rsidRPr="0038789F">
        <w:t xml:space="preserve">Our actions, over time, may affect small entities that are not easily categorized at present. </w:t>
      </w:r>
      <w:r>
        <w:t xml:space="preserve"> </w:t>
      </w:r>
      <w:r w:rsidRPr="0038789F">
        <w:t>We therefore describe three broad groups of small entities that could be directly</w:t>
      </w:r>
      <w:r>
        <w:t xml:space="preserve"> </w:t>
      </w:r>
      <w:r w:rsidRPr="0038789F">
        <w:t>affected by our actions.</w:t>
      </w:r>
      <w:r>
        <w:rPr>
          <w:vertAlign w:val="superscript"/>
        </w:rPr>
        <w:footnoteReference w:id="65"/>
      </w:r>
      <w:r w:rsidRPr="0038789F">
        <w:t xml:space="preserve">  In general, a small business is an independent business having fewer than 500 employees.</w:t>
      </w:r>
      <w:r>
        <w:rPr>
          <w:vertAlign w:val="superscript"/>
        </w:rPr>
        <w:footnoteReference w:id="66"/>
      </w:r>
      <w:r w:rsidRPr="0038789F">
        <w:t xml:space="preserve">  These types of small businesses represent 99.9% of all businesses in the United States, which translates to 34.75 </w:t>
      </w:r>
      <w:r w:rsidRPr="0038789F">
        <w:t>million businesses.</w:t>
      </w:r>
      <w:r>
        <w:rPr>
          <w:vertAlign w:val="superscript"/>
        </w:rPr>
        <w:footnoteReference w:id="67"/>
      </w:r>
      <w:r w:rsidRPr="0038789F">
        <w:t xml:space="preserve">  Next, “small organizations” are not-for-profit enterprises that are independently owned and operated and </w:t>
      </w:r>
      <w:r>
        <w:t xml:space="preserve">are </w:t>
      </w:r>
      <w:r w:rsidRPr="0038789F">
        <w:t xml:space="preserve">not dominant </w:t>
      </w:r>
      <w:r>
        <w:t xml:space="preserve">in </w:t>
      </w:r>
      <w:r w:rsidRPr="0038789F">
        <w:t>their field.</w:t>
      </w:r>
      <w:r>
        <w:rPr>
          <w:vertAlign w:val="superscript"/>
        </w:rPr>
        <w:footnoteReference w:id="68"/>
      </w:r>
      <w:r w:rsidRPr="0038789F">
        <w:t xml:space="preserve">  While we do not have data regarding the number of non-profits that meet that criteria, over 99 percent of nonprofits have fewer than 500 employees.</w:t>
      </w:r>
      <w:r>
        <w:rPr>
          <w:vertAlign w:val="superscript"/>
        </w:rPr>
        <w:footnoteReference w:id="69"/>
      </w:r>
      <w:r w:rsidRPr="0038789F">
        <w:t xml:space="preserve"> </w:t>
      </w:r>
      <w:r>
        <w:t xml:space="preserve"> </w:t>
      </w:r>
      <w:r w:rsidRPr="0038789F">
        <w:t>Finally, “small governmental jurisdictions” are defined as cities, counties, towns, townships, villages, school districts, or special districts with populations of less than fifty thousand.</w:t>
      </w:r>
      <w:r>
        <w:rPr>
          <w:vertAlign w:val="superscript"/>
        </w:rPr>
        <w:footnoteReference w:id="70"/>
      </w:r>
      <w:r w:rsidRPr="0038789F">
        <w:t xml:space="preserve">  Based on the 2022 U.S. Census of Governments data, we estimate that at least 48,724 out of 90,835 local government jurisdictions have a population of less than 50,000.</w:t>
      </w:r>
      <w:r>
        <w:rPr>
          <w:vertAlign w:val="superscript"/>
        </w:rPr>
        <w:footnoteReference w:id="71"/>
      </w:r>
    </w:p>
    <w:p w:rsidR="001747A8" w:rsidP="001747A8" w14:paraId="7EC9D6FC" w14:textId="77777777">
      <w:pPr>
        <w:pStyle w:val="ParaNum"/>
        <w:numPr>
          <w:ilvl w:val="0"/>
          <w:numId w:val="8"/>
        </w:numPr>
        <w:tabs>
          <w:tab w:val="clear" w:pos="1080"/>
          <w:tab w:val="num" w:pos="1440"/>
        </w:tabs>
      </w:pPr>
      <w:r>
        <w:t xml:space="preserve">The </w:t>
      </w:r>
      <w:r w:rsidRPr="0038789F">
        <w:t xml:space="preserve">rules </w:t>
      </w:r>
      <w:r>
        <w:t>adopt</w:t>
      </w:r>
      <w:r w:rsidRPr="0038789F">
        <w:t xml:space="preserve">ed in the </w:t>
      </w:r>
      <w:r w:rsidRPr="00397B2F">
        <w:rPr>
          <w:i/>
          <w:iCs/>
        </w:rPr>
        <w:t>Report and Order</w:t>
      </w:r>
      <w:r w:rsidRPr="0038789F">
        <w:t xml:space="preserve"> will apply to small entities in the industries identified in the chart below by their six-digit North American Industry Classification System</w:t>
      </w:r>
      <w:r>
        <w:t xml:space="preserve"> (NAICS)</w:t>
      </w:r>
      <w:r>
        <w:rPr>
          <w:vertAlign w:val="superscript"/>
        </w:rPr>
        <w:footnoteReference w:id="72"/>
      </w:r>
      <w:r w:rsidRPr="0038789F">
        <w:t xml:space="preserve"> codes and</w:t>
      </w:r>
      <w:r>
        <w:t xml:space="preserve"> </w:t>
      </w:r>
      <w:r w:rsidRPr="0038789F">
        <w:t>corresponding SBA size standard.</w:t>
      </w:r>
      <w:r>
        <w:rPr>
          <w:vertAlign w:val="superscript"/>
        </w:rPr>
        <w:footnoteReference w:id="73"/>
      </w:r>
      <w:r w:rsidRPr="0038789F">
        <w:t xml:space="preserve">  </w:t>
      </w:r>
      <w:r>
        <w:t>Where available, we also provide additional information regarding the number of potentially affected entities in the identified industries below.</w:t>
      </w:r>
      <w:bookmarkStart w:id="84" w:name="_Hlk217914562"/>
    </w:p>
    <w:p w:rsidR="001747A8" w:rsidP="001747A8" w14:paraId="204976D0" w14:textId="77777777">
      <w:pPr>
        <w:pStyle w:val="Heading1"/>
        <w:numPr>
          <w:ilvl w:val="0"/>
          <w:numId w:val="0"/>
        </w:numPr>
      </w:pPr>
      <w:r w:rsidRPr="00D631FF">
        <w:t>Table 1.  2022 U.S. Census Bureau Data by NAICS Code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00"/>
      </w:tblPr>
      <w:tblGrid>
        <w:gridCol w:w="2778"/>
        <w:gridCol w:w="1360"/>
        <w:gridCol w:w="1360"/>
        <w:gridCol w:w="1360"/>
        <w:gridCol w:w="1360"/>
        <w:gridCol w:w="1358"/>
      </w:tblGrid>
      <w:tr w14:paraId="5F4EF7F6" w14:textId="77777777" w:rsidTr="00CB5CBA">
        <w:tblPrEx>
          <w:tblW w:w="5000" w:type="pct"/>
          <w:jc w:val="center"/>
          <w:tblLook w:val="0100"/>
        </w:tblPrEx>
        <w:trPr>
          <w:tblHeader/>
          <w:jc w:val="center"/>
        </w:trPr>
        <w:tc>
          <w:tcPr>
            <w:tcW w:w="1450" w:type="pct"/>
            <w:shd w:val="pct5" w:color="auto" w:fill="auto"/>
          </w:tcPr>
          <w:p w:rsidR="001747A8" w:rsidRPr="00F927E8" w:rsidP="00CB5CBA" w14:paraId="3D5FC761" w14:textId="77777777">
            <w:pPr>
              <w:rPr>
                <w:b/>
                <w:bCs/>
                <w:sz w:val="20"/>
              </w:rPr>
            </w:pPr>
            <w:r w:rsidRPr="00F927E8">
              <w:rPr>
                <w:b/>
                <w:bCs/>
                <w:sz w:val="20"/>
              </w:rPr>
              <w:t>Regulated Industry (Footnotes specify potentially affected entities within a regulated industry where applicable)</w:t>
            </w:r>
          </w:p>
        </w:tc>
        <w:tc>
          <w:tcPr>
            <w:tcW w:w="710" w:type="pct"/>
            <w:shd w:val="pct5" w:color="auto" w:fill="auto"/>
            <w:vAlign w:val="center"/>
          </w:tcPr>
          <w:p w:rsidR="001747A8" w:rsidRPr="00F927E8" w:rsidP="00CB5CBA" w14:paraId="1E70A876" w14:textId="77777777">
            <w:pPr>
              <w:jc w:val="center"/>
              <w:rPr>
                <w:b/>
                <w:bCs/>
                <w:sz w:val="20"/>
              </w:rPr>
            </w:pPr>
            <w:r w:rsidRPr="00F927E8">
              <w:rPr>
                <w:b/>
                <w:bCs/>
                <w:sz w:val="20"/>
              </w:rPr>
              <w:t>NAICS Code</w:t>
            </w:r>
          </w:p>
        </w:tc>
        <w:tc>
          <w:tcPr>
            <w:tcW w:w="710" w:type="pct"/>
            <w:shd w:val="pct5" w:color="auto" w:fill="auto"/>
            <w:vAlign w:val="center"/>
          </w:tcPr>
          <w:p w:rsidR="001747A8" w:rsidP="00CB5CBA" w14:paraId="62FB70A3" w14:textId="77777777">
            <w:pPr>
              <w:jc w:val="center"/>
              <w:rPr>
                <w:b/>
                <w:bCs/>
                <w:sz w:val="20"/>
              </w:rPr>
            </w:pPr>
          </w:p>
          <w:p w:rsidR="001747A8" w:rsidRPr="00F927E8" w:rsidP="00CB5CBA" w14:paraId="631CF8C7" w14:textId="77777777">
            <w:pPr>
              <w:jc w:val="center"/>
              <w:rPr>
                <w:b/>
                <w:bCs/>
                <w:sz w:val="20"/>
              </w:rPr>
            </w:pPr>
            <w:r w:rsidRPr="00F927E8">
              <w:rPr>
                <w:b/>
                <w:bCs/>
                <w:sz w:val="20"/>
              </w:rPr>
              <w:t>SBA Size Standard</w:t>
            </w:r>
          </w:p>
          <w:p w:rsidR="001747A8" w:rsidRPr="00F927E8" w:rsidP="00CB5CBA" w14:paraId="6980C2C8" w14:textId="77777777">
            <w:pPr>
              <w:jc w:val="center"/>
              <w:rPr>
                <w:b/>
                <w:bCs/>
                <w:sz w:val="20"/>
              </w:rPr>
            </w:pPr>
          </w:p>
        </w:tc>
        <w:tc>
          <w:tcPr>
            <w:tcW w:w="710" w:type="pct"/>
            <w:shd w:val="pct5" w:color="auto" w:fill="auto"/>
            <w:vAlign w:val="center"/>
          </w:tcPr>
          <w:p w:rsidR="001747A8" w:rsidRPr="00F927E8" w:rsidP="00CB5CBA" w14:paraId="0BBD605B" w14:textId="77777777">
            <w:pPr>
              <w:jc w:val="center"/>
              <w:rPr>
                <w:b/>
                <w:bCs/>
                <w:sz w:val="20"/>
              </w:rPr>
            </w:pPr>
            <w:r w:rsidRPr="00F927E8">
              <w:rPr>
                <w:b/>
                <w:bCs/>
                <w:sz w:val="20"/>
              </w:rPr>
              <w:t>Total Firms</w:t>
            </w:r>
            <w:r>
              <w:rPr>
                <w:bCs/>
                <w:vertAlign w:val="superscript"/>
              </w:rPr>
              <w:footnoteReference w:id="74"/>
            </w:r>
          </w:p>
        </w:tc>
        <w:tc>
          <w:tcPr>
            <w:tcW w:w="710" w:type="pct"/>
            <w:shd w:val="pct5" w:color="auto" w:fill="auto"/>
            <w:vAlign w:val="center"/>
          </w:tcPr>
          <w:p w:rsidR="001747A8" w:rsidRPr="00F927E8" w:rsidP="00CB5CBA" w14:paraId="7B263389" w14:textId="77777777">
            <w:pPr>
              <w:jc w:val="center"/>
              <w:rPr>
                <w:b/>
                <w:bCs/>
                <w:sz w:val="20"/>
              </w:rPr>
            </w:pPr>
            <w:r w:rsidRPr="00F927E8">
              <w:rPr>
                <w:b/>
                <w:bCs/>
                <w:sz w:val="20"/>
              </w:rPr>
              <w:t>Total Small Firms</w:t>
            </w:r>
            <w:r>
              <w:rPr>
                <w:bCs/>
                <w:vertAlign w:val="superscript"/>
              </w:rPr>
              <w:footnoteReference w:id="75"/>
            </w:r>
          </w:p>
        </w:tc>
        <w:tc>
          <w:tcPr>
            <w:tcW w:w="709" w:type="pct"/>
            <w:shd w:val="pct5" w:color="auto" w:fill="auto"/>
            <w:vAlign w:val="center"/>
          </w:tcPr>
          <w:p w:rsidR="001747A8" w:rsidRPr="00F927E8" w:rsidP="00CB5CBA" w14:paraId="0393FC9E" w14:textId="77777777">
            <w:pPr>
              <w:jc w:val="center"/>
              <w:rPr>
                <w:b/>
                <w:bCs/>
                <w:sz w:val="20"/>
              </w:rPr>
            </w:pPr>
            <w:r w:rsidRPr="00F927E8">
              <w:rPr>
                <w:b/>
                <w:bCs/>
                <w:sz w:val="20"/>
              </w:rPr>
              <w:t>% Small Firms</w:t>
            </w:r>
          </w:p>
        </w:tc>
      </w:tr>
      <w:tr w14:paraId="43ECC7E1" w14:textId="77777777" w:rsidTr="00CB5CBA">
        <w:tblPrEx>
          <w:tblW w:w="5000" w:type="pct"/>
          <w:jc w:val="center"/>
          <w:tblLook w:val="0100"/>
        </w:tblPrEx>
        <w:trPr>
          <w:jc w:val="center"/>
        </w:trPr>
        <w:tc>
          <w:tcPr>
            <w:tcW w:w="1450" w:type="pct"/>
          </w:tcPr>
          <w:p w:rsidR="001747A8" w:rsidRPr="00F927E8" w:rsidP="00CB5CBA" w14:paraId="738B8BE7" w14:textId="77777777">
            <w:pPr>
              <w:rPr>
                <w:sz w:val="20"/>
              </w:rPr>
            </w:pPr>
            <w:r w:rsidRPr="00F927E8">
              <w:rPr>
                <w:sz w:val="20"/>
              </w:rPr>
              <w:t>All Other Telecommunications</w:t>
            </w:r>
            <w:r>
              <w:rPr>
                <w:sz w:val="20"/>
                <w:vertAlign w:val="superscript"/>
              </w:rPr>
              <w:footnoteReference w:id="76"/>
            </w:r>
          </w:p>
        </w:tc>
        <w:tc>
          <w:tcPr>
            <w:tcW w:w="710" w:type="pct"/>
            <w:vAlign w:val="bottom"/>
          </w:tcPr>
          <w:p w:rsidR="001747A8" w:rsidRPr="00F927E8" w:rsidP="00CB5CBA" w14:paraId="4B832091" w14:textId="77777777">
            <w:pPr>
              <w:rPr>
                <w:sz w:val="20"/>
              </w:rPr>
            </w:pPr>
            <w:r w:rsidRPr="00F927E8">
              <w:rPr>
                <w:sz w:val="20"/>
              </w:rPr>
              <w:t>517810</w:t>
            </w:r>
          </w:p>
        </w:tc>
        <w:tc>
          <w:tcPr>
            <w:tcW w:w="710" w:type="pct"/>
            <w:vAlign w:val="bottom"/>
          </w:tcPr>
          <w:p w:rsidR="001747A8" w:rsidRPr="00F927E8" w:rsidP="00CB5CBA" w14:paraId="00853A10" w14:textId="77777777">
            <w:pPr>
              <w:rPr>
                <w:sz w:val="20"/>
              </w:rPr>
            </w:pPr>
            <w:r w:rsidRPr="00F927E8">
              <w:rPr>
                <w:sz w:val="20"/>
              </w:rPr>
              <w:t>$40 million</w:t>
            </w:r>
          </w:p>
        </w:tc>
        <w:tc>
          <w:tcPr>
            <w:tcW w:w="710" w:type="pct"/>
            <w:vAlign w:val="bottom"/>
          </w:tcPr>
          <w:p w:rsidR="001747A8" w:rsidRPr="00F927E8" w:rsidP="00CB5CBA" w14:paraId="1211340F" w14:textId="77777777">
            <w:pPr>
              <w:jc w:val="center"/>
              <w:rPr>
                <w:sz w:val="20"/>
              </w:rPr>
            </w:pPr>
            <w:r w:rsidRPr="00F927E8">
              <w:rPr>
                <w:sz w:val="20"/>
              </w:rPr>
              <w:t>1,673</w:t>
            </w:r>
          </w:p>
        </w:tc>
        <w:tc>
          <w:tcPr>
            <w:tcW w:w="710" w:type="pct"/>
            <w:vAlign w:val="bottom"/>
          </w:tcPr>
          <w:p w:rsidR="001747A8" w:rsidRPr="00F927E8" w:rsidP="00CB5CBA" w14:paraId="3906D86D" w14:textId="77777777">
            <w:pPr>
              <w:jc w:val="center"/>
              <w:rPr>
                <w:sz w:val="20"/>
              </w:rPr>
            </w:pPr>
            <w:r w:rsidRPr="00F927E8">
              <w:rPr>
                <w:sz w:val="20"/>
              </w:rPr>
              <w:t>1,007</w:t>
            </w:r>
          </w:p>
        </w:tc>
        <w:tc>
          <w:tcPr>
            <w:tcW w:w="709" w:type="pct"/>
            <w:vAlign w:val="bottom"/>
          </w:tcPr>
          <w:p w:rsidR="001747A8" w:rsidRPr="003B2D6D" w:rsidP="00CB5CBA" w14:paraId="56A99CAF" w14:textId="77777777">
            <w:pPr>
              <w:jc w:val="center"/>
              <w:rPr>
                <w:color w:val="000000"/>
                <w:sz w:val="20"/>
              </w:rPr>
            </w:pPr>
            <w:r w:rsidRPr="00F927E8">
              <w:rPr>
                <w:color w:val="000000"/>
                <w:sz w:val="20"/>
              </w:rPr>
              <w:t>60.19%</w:t>
            </w:r>
          </w:p>
        </w:tc>
      </w:tr>
    </w:tbl>
    <w:p w:rsidR="001747A8" w:rsidRPr="00507DD6" w:rsidP="001747A8" w14:paraId="6DBCE890" w14:textId="77777777"/>
    <w:p w:rsidR="001747A8" w:rsidP="001747A8" w14:paraId="0332D6C0" w14:textId="77777777">
      <w:pPr>
        <w:pStyle w:val="Heading2"/>
      </w:pPr>
      <w:r w:rsidRPr="00452AAF">
        <w:t>De</w:t>
      </w:r>
      <w:r w:rsidRPr="00C80C89">
        <w:t>scription</w:t>
      </w:r>
      <w:r w:rsidRPr="00F83793">
        <w:rPr>
          <w:bCs/>
        </w:rPr>
        <w:t xml:space="preserve"> of </w:t>
      </w:r>
      <w:r>
        <w:rPr>
          <w:bCs/>
        </w:rPr>
        <w:t xml:space="preserve">Economic Impact and </w:t>
      </w:r>
      <w:r w:rsidRPr="00F83793">
        <w:rPr>
          <w:bCs/>
        </w:rPr>
        <w:t xml:space="preserve">Projected Reporting, </w:t>
      </w:r>
      <w:r w:rsidRPr="00C80C89">
        <w:t>Recordkeeping</w:t>
      </w:r>
      <w:r w:rsidRPr="00F83793">
        <w:rPr>
          <w:bCs/>
        </w:rPr>
        <w:t xml:space="preserve"> and Other </w:t>
      </w:r>
      <w:r w:rsidRPr="00C80C89">
        <w:t>Compliance</w:t>
      </w:r>
      <w:r w:rsidRPr="00F83793">
        <w:rPr>
          <w:bCs/>
        </w:rPr>
        <w:t xml:space="preserve"> </w:t>
      </w:r>
      <w:r w:rsidRPr="00C80C89">
        <w:t>Requirements</w:t>
      </w:r>
      <w:r>
        <w:t xml:space="preserve"> for Small Entities</w:t>
      </w:r>
    </w:p>
    <w:bookmarkEnd w:id="84"/>
    <w:p w:rsidR="001747A8" w:rsidP="001747A8" w14:paraId="50652FBB" w14:textId="77777777">
      <w:pPr>
        <w:pStyle w:val="ParaNum"/>
        <w:numPr>
          <w:ilvl w:val="0"/>
          <w:numId w:val="8"/>
        </w:numPr>
        <w:tabs>
          <w:tab w:val="clear" w:pos="1080"/>
          <w:tab w:val="num" w:pos="1440"/>
        </w:tabs>
        <w:rPr>
          <w:szCs w:val="22"/>
        </w:rPr>
      </w:pPr>
      <w:r w:rsidRPr="00DD0E0C">
        <w:rPr>
          <w:szCs w:val="22"/>
        </w:rPr>
        <w:t xml:space="preserve">The RFA directs agencies </w:t>
      </w:r>
      <w:r w:rsidRPr="00BF5AEE">
        <w:rPr>
          <w:szCs w:val="22"/>
        </w:rPr>
        <w:t xml:space="preserve">to describe the economic impact of </w:t>
      </w:r>
      <w:r>
        <w:rPr>
          <w:szCs w:val="22"/>
        </w:rPr>
        <w:t>adopt</w:t>
      </w:r>
      <w:r w:rsidRPr="00BF5AEE">
        <w:rPr>
          <w:szCs w:val="22"/>
        </w:rPr>
        <w:t>ed rules on small entities,</w:t>
      </w:r>
      <w:r>
        <w:rPr>
          <w:szCs w:val="22"/>
        </w:rPr>
        <w:t xml:space="preserve"> as well as</w:t>
      </w:r>
      <w:r w:rsidRPr="00DD0E0C">
        <w:rPr>
          <w:szCs w:val="22"/>
        </w:rPr>
        <w:t xml:space="preserve"> projected reporting, recordkeeping and other compliance requirements, including an estimate of the classes of small entities which will be subject to the requirement and the type of professional skills necessary for preparation of the report or record.</w:t>
      </w:r>
      <w:r>
        <w:rPr>
          <w:rStyle w:val="StyleFootnoteReference"/>
        </w:rPr>
        <w:footnoteReference w:id="77"/>
      </w:r>
      <w:r>
        <w:rPr>
          <w:szCs w:val="22"/>
        </w:rPr>
        <w:t xml:space="preserve"> </w:t>
      </w:r>
    </w:p>
    <w:p w:rsidR="001747A8" w:rsidRPr="004E1435" w:rsidP="001747A8" w14:paraId="54E50AAD" w14:textId="77777777">
      <w:pPr>
        <w:pStyle w:val="ParaNum"/>
        <w:numPr>
          <w:ilvl w:val="0"/>
          <w:numId w:val="8"/>
        </w:numPr>
        <w:tabs>
          <w:tab w:val="clear" w:pos="1080"/>
          <w:tab w:val="num" w:pos="1440"/>
        </w:tabs>
      </w:pPr>
      <w:r w:rsidRPr="004E1435">
        <w:t xml:space="preserve">The changes </w:t>
      </w:r>
      <w:r>
        <w:t xml:space="preserve">made in this </w:t>
      </w:r>
      <w:r>
        <w:rPr>
          <w:i/>
          <w:iCs/>
        </w:rPr>
        <w:t>Report and Order</w:t>
      </w:r>
      <w:r>
        <w:t xml:space="preserve"> </w:t>
      </w:r>
      <w:r w:rsidRPr="004E1435">
        <w:t>would</w:t>
      </w:r>
      <w:r>
        <w:t xml:space="preserve"> not</w:t>
      </w:r>
      <w:r w:rsidRPr="004E1435">
        <w:t xml:space="preserve"> impose new or modified </w:t>
      </w:r>
      <w:r w:rsidRPr="004E1435">
        <w:t>reporting, recordkeeping, or other compliance obligations on certain small entities that provide TTY</w:t>
      </w:r>
      <w:r>
        <w:t>-based TRS</w:t>
      </w:r>
      <w:r w:rsidRPr="004E1435">
        <w:t xml:space="preserve">. </w:t>
      </w:r>
    </w:p>
    <w:p w:rsidR="001747A8" w:rsidRPr="004E1435" w:rsidP="001747A8" w14:paraId="71D77559" w14:textId="77777777">
      <w:pPr>
        <w:pStyle w:val="ParaNum"/>
        <w:numPr>
          <w:ilvl w:val="0"/>
          <w:numId w:val="8"/>
        </w:numPr>
        <w:tabs>
          <w:tab w:val="clear" w:pos="1080"/>
          <w:tab w:val="num" w:pos="1440"/>
        </w:tabs>
      </w:pPr>
      <w:r w:rsidRPr="004E1435">
        <w:t>Currently, there are only two providers of TTY</w:t>
      </w:r>
      <w:r>
        <w:t>-based TRS</w:t>
      </w:r>
      <w:r w:rsidRPr="004E1435">
        <w:t xml:space="preserve">.  </w:t>
      </w:r>
      <w:r>
        <w:t>To facilitate a transition to TTY-based TRS using the Baudot format, for consumers without access to broadband services, t</w:t>
      </w:r>
      <w:r w:rsidRPr="004E1435">
        <w:t xml:space="preserve">he Commission </w:t>
      </w:r>
      <w:r>
        <w:t>sought</w:t>
      </w:r>
      <w:r w:rsidRPr="004E1435">
        <w:t xml:space="preserve"> comment on whether to require small and other TTY</w:t>
      </w:r>
      <w:r>
        <w:t>-based TRS</w:t>
      </w:r>
      <w:r w:rsidRPr="004E1435">
        <w:t xml:space="preserve"> providers to</w:t>
      </w:r>
      <w:r>
        <w:t xml:space="preserve"> provide information about State equipment distribution programs that make Baudot-format TTY-devices available, where available.  It also sought comment on whether to require TRS providers to</w:t>
      </w:r>
      <w:r w:rsidRPr="004E1435">
        <w:t xml:space="preserve"> make available a Baudot-format TTY device to ASCII-format TTY users, without cost to the user.</w:t>
      </w:r>
      <w:r>
        <w:rPr>
          <w:vertAlign w:val="superscript"/>
        </w:rPr>
        <w:footnoteReference w:id="78"/>
      </w:r>
      <w:r w:rsidRPr="004E1435">
        <w:t xml:space="preserve">  </w:t>
      </w:r>
      <w:r w:rsidRPr="0096733E">
        <w:t xml:space="preserve">The Commission considered requiring providers to issue free Baudot-compatible devices, but the record demonstrated that switching from ASCII to Baudot </w:t>
      </w:r>
      <w:r>
        <w:t>does not require new TTY equipment, a user need only</w:t>
      </w:r>
      <w:r w:rsidRPr="00AD1973">
        <w:t xml:space="preserve"> </w:t>
      </w:r>
      <w:r w:rsidRPr="0096733E">
        <w:t>chang</w:t>
      </w:r>
      <w:r>
        <w:t>e</w:t>
      </w:r>
      <w:r w:rsidRPr="0096733E">
        <w:t xml:space="preserve"> a setting</w:t>
      </w:r>
      <w:r>
        <w:t xml:space="preserve"> on the TTY device</w:t>
      </w:r>
      <w:r w:rsidRPr="0096733E">
        <w:t>.</w:t>
      </w:r>
      <w:r>
        <w:t xml:space="preserve">  After developing a record, the Commission determined that no additional obligations needed to be placed on entities that provide TTY-based TRS. </w:t>
      </w:r>
    </w:p>
    <w:p w:rsidR="001747A8" w:rsidP="001747A8" w14:paraId="71BDC3C0" w14:textId="77777777">
      <w:pPr>
        <w:pStyle w:val="Heading2"/>
      </w:pPr>
      <w:bookmarkStart w:id="85" w:name="_Toc310524632"/>
      <w:bookmarkStart w:id="86" w:name="_Toc310524900"/>
      <w:bookmarkStart w:id="87" w:name="_Toc314645322"/>
      <w:bookmarkStart w:id="88" w:name="_Toc314648953"/>
      <w:bookmarkStart w:id="89" w:name="_Toc314738879"/>
      <w:bookmarkStart w:id="90" w:name="_Toc314738922"/>
      <w:bookmarkStart w:id="91" w:name="_Toc393478012"/>
      <w:bookmarkStart w:id="92" w:name="_Toc394658134"/>
      <w:bookmarkStart w:id="93" w:name="_Toc394659979"/>
      <w:bookmarkStart w:id="94" w:name="_Toc394678819"/>
      <w:bookmarkStart w:id="95" w:name="_Toc394679533"/>
      <w:bookmarkStart w:id="96" w:name="_Toc395264440"/>
      <w:bookmarkStart w:id="97" w:name="_Toc397508655"/>
      <w:bookmarkStart w:id="98" w:name="_Toc397604505"/>
      <w:bookmarkStart w:id="99" w:name="_Toc397686593"/>
      <w:bookmarkStart w:id="100" w:name="_Toc399935856"/>
      <w:bookmarkStart w:id="101" w:name="_Toc403121206"/>
      <w:bookmarkStart w:id="102" w:name="_Toc465357617"/>
      <w:bookmarkStart w:id="103" w:name="_Toc468201220"/>
      <w:bookmarkStart w:id="104" w:name="_Toc468702544"/>
      <w:bookmarkStart w:id="105" w:name="_Toc473563728"/>
      <w:bookmarkStart w:id="106" w:name="_Toc474348304"/>
      <w:bookmarkStart w:id="107" w:name="_Toc474351641"/>
      <w:bookmarkStart w:id="108" w:name="_Toc474352572"/>
      <w:bookmarkStart w:id="109" w:name="_Toc474353434"/>
      <w:bookmarkStart w:id="110" w:name="_Toc474532759"/>
      <w:bookmarkStart w:id="111" w:name="_Toc474534425"/>
      <w:bookmarkStart w:id="112" w:name="_Toc474752052"/>
      <w:bookmarkStart w:id="113" w:name="_Toc474947292"/>
      <w:bookmarkStart w:id="114" w:name="_Toc475028092"/>
      <w:bookmarkStart w:id="115" w:name="_Toc475537255"/>
      <w:bookmarkStart w:id="116" w:name="_Toc475899455"/>
      <w:bookmarkStart w:id="117" w:name="_Toc477805788"/>
      <w:bookmarkStart w:id="118" w:name="_Toc477954222"/>
      <w:r>
        <w:t>Discussion of Steps Taken t</w:t>
      </w:r>
      <w:r w:rsidRPr="00C80C89">
        <w:t xml:space="preserve">o Minimize </w:t>
      </w:r>
      <w:r>
        <w:t xml:space="preserve">the </w:t>
      </w:r>
      <w:r w:rsidRPr="00C80C89">
        <w:t>Significant Economic Impact on Small Entities, and Significant Alternatives Considered</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rsidR="001747A8" w:rsidRPr="00A24DD5" w:rsidP="001747A8" w14:paraId="180B96A9" w14:textId="77777777">
      <w:pPr>
        <w:pStyle w:val="ParaNum"/>
        <w:numPr>
          <w:ilvl w:val="0"/>
          <w:numId w:val="8"/>
        </w:numPr>
        <w:tabs>
          <w:tab w:val="clear" w:pos="1080"/>
          <w:tab w:val="num" w:pos="1440"/>
        </w:tabs>
        <w:rPr>
          <w:szCs w:val="22"/>
        </w:rPr>
      </w:pPr>
      <w:r w:rsidRPr="00A24DD5">
        <w:rPr>
          <w:szCs w:val="22"/>
        </w:rPr>
        <w:t>The RFA requires an agency to provide “a description of the steps the agency has taken to minimize the significant economic impact on small entities…including a statement of the factual, policy, and legal reasons for selecting the alternative adopted in the final rule and why each one of the other significant alternatives to the rule considered by the agency which affect the impact on small entities was rejected.”</w:t>
      </w:r>
      <w:r>
        <w:rPr>
          <w:rStyle w:val="StyleFootnoteReference"/>
        </w:rPr>
        <w:footnoteReference w:id="79"/>
      </w:r>
    </w:p>
    <w:p w:rsidR="001747A8" w:rsidRPr="004E1435" w:rsidP="001747A8" w14:paraId="0F9F9941" w14:textId="7B89DF39">
      <w:pPr>
        <w:pStyle w:val="ParaNum"/>
        <w:numPr>
          <w:ilvl w:val="0"/>
          <w:numId w:val="8"/>
        </w:numPr>
        <w:tabs>
          <w:tab w:val="clear" w:pos="1080"/>
          <w:tab w:val="num" w:pos="1440"/>
        </w:tabs>
      </w:pPr>
      <w:r w:rsidRPr="004E1435">
        <w:t>The amendment to the Commission’s rules governing TRS is designed to facilitate upgrades to providers’ networks by eliminating the requirement to support rarely-used ASCII format.  This amendment would only affect two TTY</w:t>
      </w:r>
      <w:r>
        <w:t>-based</w:t>
      </w:r>
      <w:r w:rsidRPr="004E1435">
        <w:t xml:space="preserve"> relay service providers and a handful of ASCII-format TTY users, who account for a very small number of TTY</w:t>
      </w:r>
      <w:r>
        <w:t>-based TRS</w:t>
      </w:r>
      <w:r w:rsidRPr="004E1435">
        <w:t xml:space="preserve"> call minutes.  </w:t>
      </w:r>
      <w:r>
        <w:t>T</w:t>
      </w:r>
      <w:r w:rsidRPr="004E1435">
        <w:t xml:space="preserve">he Commission </w:t>
      </w:r>
      <w:r>
        <w:t>considered</w:t>
      </w:r>
      <w:r w:rsidRPr="004E1435">
        <w:t xml:space="preserve"> requir</w:t>
      </w:r>
      <w:r>
        <w:t>ing</w:t>
      </w:r>
      <w:r w:rsidRPr="004E1435">
        <w:t xml:space="preserve"> TRS providers to incur the costs of making Baudot-format TTY devices available given the small number of ASCII-format TTY users. </w:t>
      </w:r>
      <w:r>
        <w:t xml:space="preserve"> However,</w:t>
      </w:r>
      <w:r w:rsidRPr="00C20B1E">
        <w:t xml:space="preserve"> the record demonstrated that switching from ASCII to Baudot </w:t>
      </w:r>
      <w:r w:rsidR="00E70C81">
        <w:t>only requires</w:t>
      </w:r>
      <w:r w:rsidRPr="00C20B1E">
        <w:t xml:space="preserve"> changing a device setting.</w:t>
      </w:r>
      <w:r>
        <w:t xml:space="preserve">  By removing this ASCII mandate, TTY-based TRS providers are relieved of the financial and operational costs required to support obsolete technology, thereby facilitating network upgrades without countervailing transition costs. </w:t>
      </w:r>
    </w:p>
    <w:p w:rsidR="001747A8" w:rsidRPr="00CD5B0E" w:rsidP="001747A8" w14:paraId="78C70D81" w14:textId="77777777">
      <w:pPr>
        <w:pStyle w:val="Heading2"/>
      </w:pPr>
      <w:bookmarkStart w:id="119" w:name="_Toc394658128"/>
      <w:bookmarkStart w:id="120" w:name="_Toc394659973"/>
      <w:bookmarkStart w:id="121" w:name="_Toc394678813"/>
      <w:bookmarkStart w:id="122" w:name="_Toc394679527"/>
      <w:bookmarkStart w:id="123" w:name="_Toc395264434"/>
      <w:bookmarkStart w:id="124" w:name="_Toc397508649"/>
      <w:bookmarkStart w:id="125" w:name="_Toc397604499"/>
      <w:bookmarkStart w:id="126" w:name="_Toc397686587"/>
      <w:bookmarkStart w:id="127" w:name="_Toc399935850"/>
      <w:bookmarkStart w:id="128" w:name="_Toc403121200"/>
      <w:bookmarkStart w:id="129" w:name="_Toc423370699"/>
      <w:bookmarkStart w:id="130" w:name="_Toc450326202"/>
      <w:bookmarkStart w:id="131" w:name="_Toc465357619"/>
      <w:bookmarkStart w:id="132" w:name="_Toc468201221"/>
      <w:bookmarkStart w:id="133" w:name="_Toc468702545"/>
      <w:bookmarkStart w:id="134" w:name="_Toc473563729"/>
      <w:bookmarkStart w:id="135" w:name="_Toc474348305"/>
      <w:bookmarkStart w:id="136" w:name="_Toc474351642"/>
      <w:bookmarkStart w:id="137" w:name="_Toc474352573"/>
      <w:bookmarkStart w:id="138" w:name="_Toc474353435"/>
      <w:bookmarkStart w:id="139" w:name="_Toc474532760"/>
      <w:bookmarkStart w:id="140" w:name="_Toc474534426"/>
      <w:bookmarkStart w:id="141" w:name="_Toc474752053"/>
      <w:bookmarkStart w:id="142" w:name="_Toc474947293"/>
      <w:bookmarkStart w:id="143" w:name="_Toc475028093"/>
      <w:bookmarkStart w:id="144" w:name="_Toc475537256"/>
      <w:bookmarkStart w:id="145" w:name="_Toc475899456"/>
      <w:r w:rsidRPr="00F44447">
        <w:t>Report to Congress</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1747A8" w:rsidRPr="00CD5B0E" w:rsidP="001747A8" w14:paraId="075E053A" w14:textId="77777777">
      <w:pPr>
        <w:pStyle w:val="ParaNum"/>
        <w:numPr>
          <w:ilvl w:val="0"/>
          <w:numId w:val="8"/>
        </w:numPr>
        <w:tabs>
          <w:tab w:val="clear" w:pos="1080"/>
          <w:tab w:val="num" w:pos="1440"/>
        </w:tabs>
      </w:pPr>
      <w:r w:rsidRPr="00CD5B0E">
        <w:t xml:space="preserve">The Commission will send a copy of the </w:t>
      </w:r>
      <w:r w:rsidRPr="00963E00">
        <w:rPr>
          <w:i/>
          <w:iCs/>
        </w:rPr>
        <w:t>Report and Order</w:t>
      </w:r>
      <w:r w:rsidRPr="00963E00">
        <w:t>,</w:t>
      </w:r>
      <w:r w:rsidRPr="00CD5B0E">
        <w:t xml:space="preserve"> including this Final Regulatory Flexibility Analysis, </w:t>
      </w:r>
      <w:bookmarkStart w:id="146" w:name="_Hlk9495338"/>
      <w:r w:rsidRPr="00CD5B0E">
        <w:t>in a report to Congress pursuant to the Congressional Review Act.</w:t>
      </w:r>
      <w:r>
        <w:rPr>
          <w:rStyle w:val="StyleFootnoteReference"/>
        </w:rPr>
        <w:footnoteReference w:id="80"/>
      </w:r>
      <w:r w:rsidRPr="00CD5B0E">
        <w:t xml:space="preserve">  </w:t>
      </w:r>
      <w:bookmarkEnd w:id="146"/>
      <w:r w:rsidRPr="00CD5B0E">
        <w:t xml:space="preserve">In addition, the Commission will send a copy of the </w:t>
      </w:r>
      <w:r>
        <w:rPr>
          <w:i/>
          <w:iCs/>
        </w:rPr>
        <w:t>Report and Order</w:t>
      </w:r>
      <w:r w:rsidRPr="00CD5B0E">
        <w:t xml:space="preserve">, including this Final Regulatory Flexibility Analysis, to the Chief Counsel for the SBA Office of Advocacy </w:t>
      </w:r>
      <w:bookmarkStart w:id="147" w:name="_Hlk217915010"/>
      <w:r w:rsidRPr="00CD5B0E">
        <w:t xml:space="preserve">and will publish a copy of the </w:t>
      </w:r>
      <w:bookmarkEnd w:id="147"/>
      <w:r w:rsidRPr="00963E00">
        <w:rPr>
          <w:i/>
          <w:iCs/>
        </w:rPr>
        <w:t>Report and Order</w:t>
      </w:r>
      <w:r>
        <w:t>,</w:t>
      </w:r>
      <w:r w:rsidRPr="00CD5B0E">
        <w:t xml:space="preserve"> and this Final Regulatory Flexibility Analysis</w:t>
      </w:r>
      <w:r w:rsidRPr="00CD5B0E">
        <w:t xml:space="preserve"> </w:t>
      </w:r>
      <w:r w:rsidRPr="00CD5B0E">
        <w:t xml:space="preserve">(or summaries thereof) in the </w:t>
      </w:r>
      <w:r w:rsidRPr="00CD5B0E">
        <w:rPr>
          <w:iCs/>
        </w:rPr>
        <w:t>Federal Register</w:t>
      </w:r>
      <w:r w:rsidRPr="00CD5B0E">
        <w:t>.</w:t>
      </w:r>
      <w:bookmarkStart w:id="148" w:name="_Hlk217915070"/>
      <w:r>
        <w:rPr>
          <w:rStyle w:val="StyleFootnoteReference"/>
        </w:rPr>
        <w:footnoteReference w:id="81"/>
      </w:r>
      <w:r w:rsidRPr="00CD5B0E">
        <w:t xml:space="preserve"> </w:t>
      </w:r>
      <w:bookmarkEnd w:id="148"/>
      <w:r w:rsidRPr="00CD5B0E">
        <w:t xml:space="preserve"> </w:t>
      </w:r>
    </w:p>
    <w:p w:rsidR="00B657FF" w:rsidP="001747A8" w14:paraId="240AB7B6" w14:textId="77777777">
      <w:pPr>
        <w:pStyle w:val="ParaNum"/>
        <w:numPr>
          <w:ilvl w:val="0"/>
          <w:numId w:val="0"/>
        </w:numPr>
        <w:tabs>
          <w:tab w:val="num" w:pos="1440"/>
        </w:tabs>
        <w:ind w:left="720"/>
        <w:sectPr w:rsidSect="002135F4">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2240" w:h="15840"/>
          <w:pgMar w:top="1440" w:right="1440" w:bottom="720" w:left="1440" w:header="720" w:footer="720" w:gutter="0"/>
          <w:cols w:space="720"/>
          <w:noEndnote/>
          <w:docGrid w:linePitch="299"/>
        </w:sectPr>
      </w:pPr>
    </w:p>
    <w:p w:rsidR="00106E9F" w:rsidRPr="00106E9F" w:rsidP="00106E9F" w14:paraId="59775CC5" w14:textId="77777777">
      <w:pPr>
        <w:jc w:val="center"/>
        <w:rPr>
          <w:b/>
          <w:bCs/>
        </w:rPr>
      </w:pPr>
      <w:r w:rsidRPr="00106E9F">
        <w:rPr>
          <w:b/>
          <w:bCs/>
        </w:rPr>
        <w:t>STATEMENT OF</w:t>
      </w:r>
    </w:p>
    <w:p w:rsidR="00106E9F" w:rsidRPr="00106E9F" w:rsidP="00106E9F" w14:paraId="532EC842" w14:textId="77777777">
      <w:pPr>
        <w:jc w:val="center"/>
        <w:rPr>
          <w:b/>
          <w:bCs/>
        </w:rPr>
      </w:pPr>
      <w:r w:rsidRPr="00106E9F">
        <w:rPr>
          <w:b/>
          <w:bCs/>
        </w:rPr>
        <w:t>CHAIRMAN BRENDAN CARR</w:t>
      </w:r>
    </w:p>
    <w:p w:rsidR="001747A8" w:rsidRPr="00CD5B0E" w:rsidP="00106E9F" w14:paraId="3CFB432F" w14:textId="77777777"/>
    <w:p w:rsidR="00412FC5" w:rsidP="001747A8" w14:paraId="6156BD34" w14:textId="54A4FED4">
      <w:r w:rsidRPr="00686C21">
        <w:t xml:space="preserve">Re: </w:t>
      </w:r>
      <w:r w:rsidRPr="00686C21">
        <w:tab/>
      </w:r>
      <w:r w:rsidRPr="00686C21">
        <w:rPr>
          <w:i/>
          <w:iCs/>
        </w:rPr>
        <w:t>Telecommunications Relay Services and Speech-to-Speech Services for Individuals with Hearing and Speech Disabilities</w:t>
      </w:r>
      <w:r w:rsidRPr="00686C21">
        <w:t xml:space="preserve">; </w:t>
      </w:r>
      <w:r w:rsidRPr="00686C21">
        <w:rPr>
          <w:i/>
          <w:iCs/>
        </w:rPr>
        <w:t>Delete, Delete, Delete</w:t>
      </w:r>
      <w:r w:rsidRPr="00686C21">
        <w:t>, CG Docket No. 03-123; GN Docket No. 25-133.</w:t>
      </w:r>
    </w:p>
    <w:p w:rsidR="00385875" w:rsidP="001747A8" w14:paraId="71D47FBC" w14:textId="77777777"/>
    <w:p w:rsidR="00385875" w:rsidP="00495AE4" w14:paraId="5145ED46" w14:textId="552DDAC3">
      <w:pPr>
        <w:spacing w:after="120"/>
        <w:ind w:firstLine="720"/>
        <w:rPr>
          <w:szCs w:val="22"/>
        </w:rPr>
      </w:pPr>
      <w:r>
        <w:rPr>
          <w:szCs w:val="22"/>
        </w:rPr>
        <w:t xml:space="preserve">Since teletypewriters or TTYs were introduced in the 1960s, relay service has evolved significantly.  However, at times, the Commission’s rules have not kept up with the pace of technological change.  Today, we take action to bring our rules into the modern era by eliminating an outdated requirement that TTY-based devices remain capable of communicating in ASCII. </w:t>
      </w:r>
    </w:p>
    <w:p w:rsidR="00385875" w:rsidP="00495AE4" w14:paraId="2CB15CE9" w14:textId="6B11C304">
      <w:pPr>
        <w:spacing w:after="120"/>
        <w:ind w:firstLine="720"/>
        <w:rPr>
          <w:szCs w:val="22"/>
        </w:rPr>
      </w:pPr>
      <w:r>
        <w:rPr>
          <w:szCs w:val="22"/>
        </w:rPr>
        <w:t xml:space="preserve">Back in 1991, the Commission required </w:t>
      </w:r>
      <w:r w:rsidRPr="00584DF7">
        <w:rPr>
          <w:szCs w:val="22"/>
        </w:rPr>
        <w:t>that TTY-based devices must be capable of</w:t>
      </w:r>
      <w:r>
        <w:rPr>
          <w:szCs w:val="22"/>
        </w:rPr>
        <w:t xml:space="preserve"> </w:t>
      </w:r>
      <w:r w:rsidRPr="00584DF7">
        <w:rPr>
          <w:szCs w:val="22"/>
        </w:rPr>
        <w:t xml:space="preserve">communicating in two coding formats: Baudot and ASCII. </w:t>
      </w:r>
      <w:r>
        <w:rPr>
          <w:szCs w:val="22"/>
        </w:rPr>
        <w:t xml:space="preserve"> At the time</w:t>
      </w:r>
      <w:r w:rsidRPr="00584DF7">
        <w:rPr>
          <w:szCs w:val="22"/>
        </w:rPr>
        <w:t>, ASCII was</w:t>
      </w:r>
      <w:r>
        <w:rPr>
          <w:szCs w:val="22"/>
        </w:rPr>
        <w:t xml:space="preserve"> </w:t>
      </w:r>
      <w:r w:rsidRPr="00584DF7">
        <w:rPr>
          <w:szCs w:val="22"/>
        </w:rPr>
        <w:t xml:space="preserve">broadly </w:t>
      </w:r>
      <w:r>
        <w:rPr>
          <w:szCs w:val="22"/>
        </w:rPr>
        <w:t>believed to be</w:t>
      </w:r>
      <w:r w:rsidRPr="00584DF7">
        <w:rPr>
          <w:szCs w:val="22"/>
        </w:rPr>
        <w:t xml:space="preserve"> “a superior technology” for TTY transmission.</w:t>
      </w:r>
      <w:r>
        <w:rPr>
          <w:szCs w:val="22"/>
        </w:rPr>
        <w:t xml:space="preserve"> </w:t>
      </w:r>
      <w:r w:rsidRPr="00584DF7">
        <w:rPr>
          <w:szCs w:val="22"/>
        </w:rPr>
        <w:t xml:space="preserve"> In fact, it was estimated that ASCII</w:t>
      </w:r>
      <w:r>
        <w:rPr>
          <w:szCs w:val="22"/>
        </w:rPr>
        <w:t xml:space="preserve"> </w:t>
      </w:r>
      <w:r w:rsidRPr="00584DF7">
        <w:rPr>
          <w:szCs w:val="22"/>
        </w:rPr>
        <w:t xml:space="preserve">would transmit words at twice the speed per minute. </w:t>
      </w:r>
      <w:r>
        <w:rPr>
          <w:szCs w:val="22"/>
        </w:rPr>
        <w:t xml:space="preserve"> </w:t>
      </w:r>
      <w:r w:rsidRPr="00584DF7">
        <w:rPr>
          <w:szCs w:val="22"/>
        </w:rPr>
        <w:t xml:space="preserve">The market delivered a different verdict. </w:t>
      </w:r>
      <w:r>
        <w:rPr>
          <w:szCs w:val="22"/>
        </w:rPr>
        <w:t xml:space="preserve"> </w:t>
      </w:r>
      <w:r w:rsidRPr="00584DF7">
        <w:rPr>
          <w:szCs w:val="22"/>
        </w:rPr>
        <w:t>It turned</w:t>
      </w:r>
      <w:r>
        <w:rPr>
          <w:szCs w:val="22"/>
        </w:rPr>
        <w:t xml:space="preserve"> </w:t>
      </w:r>
      <w:r w:rsidRPr="00584DF7">
        <w:rPr>
          <w:szCs w:val="22"/>
        </w:rPr>
        <w:t>out that ASCII was more Betamax than VHS.</w:t>
      </w:r>
      <w:r w:rsidRPr="008608B7">
        <w:rPr>
          <w:szCs w:val="22"/>
        </w:rPr>
        <w:t xml:space="preserve"> </w:t>
      </w:r>
    </w:p>
    <w:p w:rsidR="00385875" w:rsidP="00495AE4" w14:paraId="3DD05875" w14:textId="09816F06">
      <w:pPr>
        <w:spacing w:after="120"/>
        <w:ind w:firstLine="720"/>
        <w:rPr>
          <w:szCs w:val="22"/>
        </w:rPr>
      </w:pPr>
      <w:r>
        <w:rPr>
          <w:szCs w:val="22"/>
        </w:rPr>
        <w:t>Last year, i</w:t>
      </w:r>
      <w:r w:rsidRPr="00F439A4">
        <w:rPr>
          <w:szCs w:val="22"/>
        </w:rPr>
        <w:t>n response to a petition seeking relief from the ASCII requirement, which received widespread support including from a coalition of accessibility advocacy organizations, the Commission propose</w:t>
      </w:r>
      <w:r>
        <w:rPr>
          <w:szCs w:val="22"/>
        </w:rPr>
        <w:t>d</w:t>
      </w:r>
      <w:r w:rsidRPr="00F439A4">
        <w:rPr>
          <w:szCs w:val="22"/>
        </w:rPr>
        <w:t xml:space="preserve"> removing the ASCII requirement from our TTY rules.</w:t>
      </w:r>
      <w:r>
        <w:rPr>
          <w:szCs w:val="22"/>
        </w:rPr>
        <w:t xml:space="preserve">  The record from that inquiry confirmed what we thought to be true.  </w:t>
      </w:r>
      <w:r w:rsidRPr="00584DF7">
        <w:rPr>
          <w:szCs w:val="22"/>
        </w:rPr>
        <w:t>ASCII calls account for approximately 0.01% of TTY-based communications.</w:t>
      </w:r>
      <w:r>
        <w:rPr>
          <w:szCs w:val="22"/>
        </w:rPr>
        <w:t xml:space="preserve">  Yet, the </w:t>
      </w:r>
      <w:r w:rsidRPr="00584DF7">
        <w:rPr>
          <w:szCs w:val="22"/>
        </w:rPr>
        <w:t>FCC’s rule</w:t>
      </w:r>
      <w:r>
        <w:rPr>
          <w:szCs w:val="22"/>
        </w:rPr>
        <w:t>s</w:t>
      </w:r>
      <w:r w:rsidRPr="00584DF7">
        <w:rPr>
          <w:szCs w:val="22"/>
        </w:rPr>
        <w:t xml:space="preserve"> impose </w:t>
      </w:r>
      <w:r>
        <w:rPr>
          <w:szCs w:val="22"/>
        </w:rPr>
        <w:t xml:space="preserve">significant </w:t>
      </w:r>
      <w:r w:rsidRPr="00584DF7">
        <w:rPr>
          <w:szCs w:val="22"/>
        </w:rPr>
        <w:t>costs on TR</w:t>
      </w:r>
      <w:r>
        <w:rPr>
          <w:szCs w:val="22"/>
        </w:rPr>
        <w:t xml:space="preserve">S </w:t>
      </w:r>
      <w:r w:rsidRPr="00584DF7">
        <w:rPr>
          <w:szCs w:val="22"/>
        </w:rPr>
        <w:t>providers to maintain ASCII-compatible hardware and software systems</w:t>
      </w:r>
      <w:r>
        <w:rPr>
          <w:szCs w:val="22"/>
        </w:rPr>
        <w:t xml:space="preserve">.  </w:t>
      </w:r>
    </w:p>
    <w:p w:rsidR="00385875" w:rsidP="00495AE4" w14:paraId="7754099F" w14:textId="637DD046">
      <w:pPr>
        <w:spacing w:after="120"/>
        <w:ind w:firstLine="720"/>
        <w:rPr>
          <w:szCs w:val="22"/>
        </w:rPr>
      </w:pPr>
      <w:r>
        <w:rPr>
          <w:szCs w:val="22"/>
        </w:rPr>
        <w:t>Today, we voted to eliminate this obsolete rule, freeing up dollars for providers to invest in other accessibility initiatives that will better serve individuals with disabilities.</w:t>
      </w:r>
    </w:p>
    <w:p w:rsidR="00385875" w:rsidRPr="000F0349" w:rsidP="00495AE4" w14:paraId="6E02228D" w14:textId="77777777">
      <w:pPr>
        <w:spacing w:after="120"/>
        <w:ind w:firstLine="720"/>
        <w:rPr>
          <w:szCs w:val="22"/>
        </w:rPr>
      </w:pPr>
      <w:r w:rsidRPr="00584DF7">
        <w:rPr>
          <w:szCs w:val="22"/>
        </w:rPr>
        <w:t>Thank you to the staff who worked on this item, including</w:t>
      </w:r>
      <w:r>
        <w:rPr>
          <w:szCs w:val="22"/>
        </w:rPr>
        <w:t xml:space="preserve"> </w:t>
      </w:r>
      <w:r w:rsidRPr="00F00D7C">
        <w:rPr>
          <w:szCs w:val="22"/>
        </w:rPr>
        <w:t xml:space="preserve">Eduard Bartholme, Lisa Edwards, Michael Scott, </w:t>
      </w:r>
      <w:r>
        <w:rPr>
          <w:szCs w:val="22"/>
        </w:rPr>
        <w:t xml:space="preserve">and </w:t>
      </w:r>
      <w:r w:rsidRPr="00F00D7C">
        <w:rPr>
          <w:szCs w:val="22"/>
        </w:rPr>
        <w:t>Joshua Mendelsohn</w:t>
      </w:r>
      <w:r>
        <w:rPr>
          <w:szCs w:val="22"/>
        </w:rPr>
        <w:t xml:space="preserve"> a</w:t>
      </w:r>
      <w:r w:rsidRPr="00F00D7C">
        <w:rPr>
          <w:szCs w:val="22"/>
        </w:rPr>
        <w:t>s well as staff from the Offices of Communications Business Opportunities, Economics and Analytics, Enforcement Bureau, General Counsel, and Managing Director.</w:t>
      </w:r>
    </w:p>
    <w:p w:rsidR="00385875" w:rsidRPr="001747A8" w:rsidP="001747A8" w14:paraId="14FEB84B" w14:textId="77777777"/>
    <w:sectPr w:rsidSect="002135F4">
      <w:footnotePr>
        <w:numRestart w:val="eachSect"/>
      </w:footnotePr>
      <w:endnotePr>
        <w:numFmt w:val="decimal"/>
      </w:endnotePr>
      <w:pgSz w:w="12240" w:h="15840"/>
      <w:pgMar w:top="1440" w:right="1440" w:bottom="72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9359D" w14:paraId="172C933E" w14:textId="77777777">
      <w:pPr>
        <w:spacing w:line="20" w:lineRule="exact"/>
      </w:pPr>
    </w:p>
  </w:endnote>
  <w:endnote w:type="continuationSeparator" w:id="1">
    <w:p w:rsidR="0079359D" w14:paraId="7CDA2774" w14:textId="77777777">
      <w:r>
        <w:t xml:space="preserve"> </w:t>
      </w:r>
    </w:p>
  </w:endnote>
  <w:endnote w:type="continuationNotice" w:id="2">
    <w:p w:rsidR="0079359D" w14:paraId="268C9D1A"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747A8" w:rsidP="0055614C" w14:paraId="35D06649" w14:textId="77777777">
    <w:pPr>
      <w:pStyle w:val="Footer"/>
      <w:framePr w:wrap="around" w:vAnchor="text" w:hAnchor="margin" w:xAlign="center" w:y="1"/>
    </w:pPr>
    <w:r>
      <w:fldChar w:fldCharType="begin"/>
    </w:r>
    <w:r>
      <w:instrText xml:space="preserve">PAGE  </w:instrText>
    </w:r>
    <w:r>
      <w:fldChar w:fldCharType="separate"/>
    </w:r>
    <w:r>
      <w:fldChar w:fldCharType="end"/>
    </w:r>
  </w:p>
  <w:p w:rsidR="001747A8" w14:paraId="16F0DD3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747A8" w:rsidP="00CB5CBA" w14:paraId="612F3C00"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747A8" w:rsidP="00CB5CBA" w14:paraId="1DA2CF25" w14:textId="77777777">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55614C" w14:paraId="6709387E" w14:textId="6088261B">
    <w:pPr>
      <w:pStyle w:val="Footer"/>
      <w:framePr w:wrap="around" w:vAnchor="text" w:hAnchor="margin" w:xAlign="center" w:y="1"/>
    </w:pPr>
    <w:r>
      <w:fldChar w:fldCharType="begin"/>
    </w:r>
    <w:r>
      <w:instrText xml:space="preserve">PAGE  </w:instrText>
    </w:r>
    <w:r>
      <w:fldChar w:fldCharType="separate"/>
    </w:r>
    <w:r>
      <w:fldChar w:fldCharType="end"/>
    </w:r>
  </w:p>
  <w:p w:rsidR="00D25FB5" w14:paraId="67C91C4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308" w:rsidP="00AA6EA8" w14:paraId="713AD775" w14:textId="23A7092D">
    <w:pPr>
      <w:pStyle w:val="Footer"/>
      <w:tabs>
        <w:tab w:val="center" w:pos="4680"/>
        <w:tab w:val="left" w:pos="5320"/>
      </w:tabs>
    </w:pPr>
    <w:r>
      <w:tab/>
    </w:r>
    <w:r>
      <w:tab/>
    </w:r>
    <w:r>
      <w:fldChar w:fldCharType="begin"/>
    </w:r>
    <w:r>
      <w:instrText xml:space="preserve"> PAGE   \* MERGEFORMAT </w:instrText>
    </w:r>
    <w:r>
      <w:fldChar w:fldCharType="separate"/>
    </w:r>
    <w:r>
      <w:rPr>
        <w:noProof/>
      </w:rPr>
      <w:t>2</w:t>
    </w:r>
    <w:r>
      <w:rPr>
        <w:noProof/>
      </w:rPr>
      <w:fldChar w:fldCharType="end"/>
    </w:r>
    <w:r>
      <w:rPr>
        <w:noProof/>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14:paraId="4F5D0141" w14:textId="44209BB3">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9359D" w14:paraId="1867D7FD" w14:textId="77777777">
      <w:r>
        <w:separator/>
      </w:r>
    </w:p>
  </w:footnote>
  <w:footnote w:type="continuationSeparator" w:id="1">
    <w:p w:rsidR="0079359D" w:rsidP="00C721AC" w14:paraId="3EFDBDE2" w14:textId="77777777">
      <w:pPr>
        <w:spacing w:before="120"/>
        <w:rPr>
          <w:sz w:val="20"/>
        </w:rPr>
      </w:pPr>
      <w:r>
        <w:rPr>
          <w:sz w:val="20"/>
        </w:rPr>
        <w:t xml:space="preserve">(Continued from previous page)  </w:t>
      </w:r>
      <w:r>
        <w:rPr>
          <w:sz w:val="20"/>
        </w:rPr>
        <w:separator/>
      </w:r>
    </w:p>
  </w:footnote>
  <w:footnote w:type="continuationNotice" w:id="2">
    <w:p w:rsidR="0079359D" w:rsidP="00C721AC" w14:paraId="36CDF275" w14:textId="77777777">
      <w:pPr>
        <w:jc w:val="right"/>
        <w:rPr>
          <w:sz w:val="20"/>
        </w:rPr>
      </w:pPr>
      <w:r>
        <w:rPr>
          <w:sz w:val="20"/>
        </w:rPr>
        <w:t>(continued….)</w:t>
      </w:r>
    </w:p>
  </w:footnote>
  <w:footnote w:id="3">
    <w:p w:rsidR="001747A8" w:rsidP="001747A8" w14:paraId="431D3BE6" w14:textId="77777777">
      <w:pPr>
        <w:pStyle w:val="FootnoteText"/>
      </w:pPr>
      <w:r>
        <w:rPr>
          <w:rStyle w:val="FootnoteReference"/>
        </w:rPr>
        <w:footnoteRef/>
      </w:r>
      <w:r>
        <w:t xml:space="preserve"> </w:t>
      </w:r>
      <w:r w:rsidRPr="008C4C94">
        <w:t>47 CFR § 64.604(b)(1).</w:t>
      </w:r>
    </w:p>
  </w:footnote>
  <w:footnote w:id="4">
    <w:p w:rsidR="001747A8" w:rsidP="001747A8" w14:paraId="538FAC3D" w14:textId="77777777">
      <w:pPr>
        <w:pStyle w:val="FootnoteText"/>
      </w:pPr>
      <w:r>
        <w:rPr>
          <w:rStyle w:val="FootnoteReference"/>
        </w:rPr>
        <w:footnoteRef/>
      </w:r>
      <w:r>
        <w:t xml:space="preserve"> </w:t>
      </w:r>
      <w:r w:rsidRPr="009A30BD">
        <w:t>47 U.S.C. § 225(a)(3), (b)(1).</w:t>
      </w:r>
    </w:p>
  </w:footnote>
  <w:footnote w:id="5">
    <w:p w:rsidR="001747A8" w:rsidRPr="002D607C" w:rsidP="001747A8" w14:paraId="49CF7727" w14:textId="77777777">
      <w:pPr>
        <w:pStyle w:val="FootnoteText"/>
      </w:pPr>
      <w:r>
        <w:rPr>
          <w:rStyle w:val="FootnoteReference"/>
        </w:rPr>
        <w:footnoteRef/>
      </w:r>
      <w:r>
        <w:t xml:space="preserve"> 47 CFR § 64.604.</w:t>
      </w:r>
    </w:p>
  </w:footnote>
  <w:footnote w:id="6">
    <w:p w:rsidR="001747A8" w:rsidRPr="00417FBF" w:rsidP="001747A8" w14:paraId="371AE896" w14:textId="77777777">
      <w:pPr>
        <w:pStyle w:val="FootnoteText"/>
      </w:pPr>
      <w:r w:rsidRPr="00417FBF">
        <w:rPr>
          <w:rStyle w:val="FootnoteReference"/>
        </w:rPr>
        <w:footnoteRef/>
      </w:r>
      <w:r w:rsidRPr="00417FBF">
        <w:t xml:space="preserve"> </w:t>
      </w:r>
      <w:r w:rsidRPr="006D1CCE">
        <w:rPr>
          <w:i/>
          <w:iCs/>
        </w:rPr>
        <w:t>Telecommunications Relay Services and Speech-to-Speech Services for Individuals with Hearing and Speech Disabilities</w:t>
      </w:r>
      <w:r w:rsidRPr="006D1CCE">
        <w:t xml:space="preserve">, Report and Order, 15 FCC </w:t>
      </w:r>
      <w:r w:rsidRPr="006D1CCE">
        <w:t>Rcd</w:t>
      </w:r>
      <w:r w:rsidRPr="006D1CCE">
        <w:t xml:space="preserve"> 5140, </w:t>
      </w:r>
      <w:r>
        <w:t xml:space="preserve">5142, </w:t>
      </w:r>
      <w:r w:rsidRPr="006D1CCE">
        <w:t>para. 2 (2000)</w:t>
      </w:r>
      <w:r>
        <w:t xml:space="preserve"> (</w:t>
      </w:r>
      <w:r w:rsidRPr="00D4133B">
        <w:rPr>
          <w:i/>
          <w:iCs/>
        </w:rPr>
        <w:t>2000 TRS Order</w:t>
      </w:r>
      <w:r>
        <w:t>)</w:t>
      </w:r>
      <w:r w:rsidRPr="006D1CCE">
        <w:t>.</w:t>
      </w:r>
      <w:r>
        <w:t xml:space="preserve">  </w:t>
      </w:r>
      <w:r w:rsidRPr="00417FBF">
        <w:rPr>
          <w:i/>
          <w:iCs/>
        </w:rPr>
        <w:t>See</w:t>
      </w:r>
      <w:r w:rsidRPr="00417FBF">
        <w:t xml:space="preserve"> 47 CFR §</w:t>
      </w:r>
      <w:r>
        <w:t> </w:t>
      </w:r>
      <w:r w:rsidRPr="00417FBF">
        <w:t>64.601(a)</w:t>
      </w:r>
      <w:r>
        <w:t xml:space="preserve"> (Text telephone (TTY) definition)</w:t>
      </w:r>
      <w:r w:rsidRPr="00417FBF">
        <w:t>.</w:t>
      </w:r>
    </w:p>
  </w:footnote>
  <w:footnote w:id="7">
    <w:p w:rsidR="001747A8" w:rsidRPr="006D1CCE" w:rsidP="001747A8" w14:paraId="1E599F08" w14:textId="77777777">
      <w:pPr>
        <w:pStyle w:val="FootnoteText"/>
      </w:pPr>
      <w:r>
        <w:rPr>
          <w:rStyle w:val="FootnoteReference"/>
        </w:rPr>
        <w:footnoteRef/>
      </w:r>
      <w:r>
        <w:t xml:space="preserve"> </w:t>
      </w:r>
      <w:r w:rsidRPr="006D1CCE">
        <w:rPr>
          <w:i/>
          <w:iCs/>
        </w:rPr>
        <w:t>2000 TRS Order</w:t>
      </w:r>
      <w:r>
        <w:t xml:space="preserve">, </w:t>
      </w:r>
      <w:r w:rsidRPr="006D1CCE">
        <w:t xml:space="preserve">15 FCC </w:t>
      </w:r>
      <w:r w:rsidRPr="006D1CCE">
        <w:t>Rcd</w:t>
      </w:r>
      <w:r w:rsidRPr="006D1CCE">
        <w:t xml:space="preserve"> </w:t>
      </w:r>
      <w:r>
        <w:t>at 5142</w:t>
      </w:r>
      <w:r w:rsidRPr="006D1CCE">
        <w:t>, para. 2</w:t>
      </w:r>
      <w:r>
        <w:t>.</w:t>
      </w:r>
    </w:p>
  </w:footnote>
  <w:footnote w:id="8">
    <w:p w:rsidR="001747A8" w:rsidP="001747A8" w14:paraId="6F36B5E4" w14:textId="77777777">
      <w:pPr>
        <w:pStyle w:val="FootnoteText"/>
      </w:pPr>
      <w:r>
        <w:rPr>
          <w:rStyle w:val="FootnoteReference"/>
        </w:rPr>
        <w:footnoteRef/>
      </w:r>
      <w:r>
        <w:t xml:space="preserve"> </w:t>
      </w:r>
      <w:r w:rsidRPr="00DA6619">
        <w:rPr>
          <w:i/>
          <w:iCs/>
        </w:rPr>
        <w:t>Telecommunications Services for Individuals with Hearing and Speech Disabilities, and the Americans with Disabilities Act of 1990</w:t>
      </w:r>
      <w:r w:rsidRPr="00DA6619">
        <w:t xml:space="preserve">, CC Docket No. 90-571, Report and Order and Request for Comments, 6 FCC </w:t>
      </w:r>
      <w:r w:rsidRPr="00DA6619">
        <w:t>Rcd</w:t>
      </w:r>
      <w:r w:rsidRPr="00DA6619">
        <w:t xml:space="preserve"> 4657, 4661, para. 20 (1991)</w:t>
      </w:r>
      <w:r>
        <w:t xml:space="preserve"> </w:t>
      </w:r>
      <w:r w:rsidRPr="003C3491">
        <w:t>(</w:t>
      </w:r>
      <w:r w:rsidRPr="00DA6619">
        <w:rPr>
          <w:i/>
          <w:iCs/>
        </w:rPr>
        <w:t>1991 TRS Order</w:t>
      </w:r>
      <w:r w:rsidRPr="003C3491">
        <w:t>).</w:t>
      </w:r>
    </w:p>
  </w:footnote>
  <w:footnote w:id="9">
    <w:p w:rsidR="001747A8" w:rsidRPr="001E7892" w:rsidP="001747A8" w14:paraId="20ECF0AE" w14:textId="77777777">
      <w:pPr>
        <w:pStyle w:val="FootnoteText"/>
      </w:pPr>
      <w:r>
        <w:rPr>
          <w:rStyle w:val="FootnoteReference"/>
        </w:rPr>
        <w:footnoteRef/>
      </w:r>
      <w:r>
        <w:t xml:space="preserve"> </w:t>
      </w:r>
      <w:r w:rsidRPr="003F56D6">
        <w:rPr>
          <w:i/>
          <w:iCs/>
        </w:rPr>
        <w:t>1991 TRS Order</w:t>
      </w:r>
      <w:r>
        <w:t xml:space="preserve">, </w:t>
      </w:r>
      <w:r w:rsidRPr="003F56D6">
        <w:t xml:space="preserve">6 FCC </w:t>
      </w:r>
      <w:r w:rsidRPr="003F56D6">
        <w:t>Rcd</w:t>
      </w:r>
      <w:r>
        <w:t xml:space="preserve"> at 4661, para. 20; </w:t>
      </w:r>
      <w:r w:rsidRPr="00C22C5A">
        <w:t>47 CFR § 64.601(b)(1).</w:t>
      </w:r>
    </w:p>
  </w:footnote>
  <w:footnote w:id="10">
    <w:p w:rsidR="001747A8" w:rsidP="001747A8" w14:paraId="3CD9F8A3" w14:textId="77777777">
      <w:pPr>
        <w:pStyle w:val="FootnoteText"/>
      </w:pPr>
      <w:r>
        <w:rPr>
          <w:rStyle w:val="FootnoteReference"/>
        </w:rPr>
        <w:footnoteRef/>
      </w:r>
      <w:r>
        <w:t xml:space="preserve"> </w:t>
      </w:r>
      <w:r w:rsidRPr="006556E7">
        <w:rPr>
          <w:i/>
          <w:iCs/>
        </w:rPr>
        <w:t>See</w:t>
      </w:r>
      <w:r w:rsidRPr="006556E7">
        <w:t xml:space="preserve"> </w:t>
      </w:r>
      <w:r w:rsidRPr="00417FBF">
        <w:rPr>
          <w:i/>
          <w:iCs/>
        </w:rPr>
        <w:t>Telecommunications Relay Services and Speech-to-Speech for Individuals with Hearing and Speech Disabilities</w:t>
      </w:r>
      <w:r w:rsidRPr="00534F60">
        <w:t>;</w:t>
      </w:r>
      <w:r>
        <w:t xml:space="preserve"> </w:t>
      </w:r>
      <w:r w:rsidRPr="00417FBF">
        <w:rPr>
          <w:i/>
          <w:iCs/>
        </w:rPr>
        <w:t xml:space="preserve">Waivers of </w:t>
      </w:r>
      <w:r w:rsidRPr="00417FBF">
        <w:rPr>
          <w:i/>
          <w:iCs/>
        </w:rPr>
        <w:t>iTRS</w:t>
      </w:r>
      <w:r w:rsidRPr="00417FBF">
        <w:rPr>
          <w:i/>
          <w:iCs/>
        </w:rPr>
        <w:t xml:space="preserve"> Mandatory Minimum Standards</w:t>
      </w:r>
      <w:r w:rsidRPr="00417FBF">
        <w:t xml:space="preserve">, Report and Order, Order, Declaratory Ruling, and Further Notice of Proposed Rulemaking, 29 FCC Rcd 10697, </w:t>
      </w:r>
      <w:r>
        <w:t xml:space="preserve">10700-01, </w:t>
      </w:r>
      <w:r w:rsidRPr="00417FBF">
        <w:t>para</w:t>
      </w:r>
      <w:r>
        <w:t>s</w:t>
      </w:r>
      <w:r w:rsidRPr="00417FBF">
        <w:t>. 4</w:t>
      </w:r>
      <w:r>
        <w:t>-5</w:t>
      </w:r>
      <w:r w:rsidRPr="00417FBF">
        <w:t xml:space="preserve"> (2014) (</w:t>
      </w:r>
      <w:r w:rsidRPr="00D4133B">
        <w:rPr>
          <w:i/>
          <w:iCs/>
        </w:rPr>
        <w:t xml:space="preserve">2014 </w:t>
      </w:r>
      <w:r>
        <w:rPr>
          <w:i/>
          <w:iCs/>
        </w:rPr>
        <w:t xml:space="preserve">TRS Exemptions </w:t>
      </w:r>
      <w:r w:rsidRPr="00D4133B">
        <w:rPr>
          <w:i/>
          <w:iCs/>
        </w:rPr>
        <w:t>Order</w:t>
      </w:r>
      <w:r w:rsidRPr="00417FBF">
        <w:t>).</w:t>
      </w:r>
      <w:r>
        <w:t xml:space="preserve">  The ASCII rule has not been applied to the </w:t>
      </w:r>
      <w:r w:rsidRPr="00417FBF">
        <w:t xml:space="preserve">Internet-based </w:t>
      </w:r>
      <w:r>
        <w:t>relay services, Internet Protocol Captioned Telephone Service (</w:t>
      </w:r>
      <w:r w:rsidRPr="00417FBF">
        <w:t>IP CTS</w:t>
      </w:r>
      <w:r>
        <w:t>)</w:t>
      </w:r>
      <w:r w:rsidRPr="00417FBF">
        <w:t xml:space="preserve">, </w:t>
      </w:r>
      <w:r>
        <w:t>Internet Protocol Relay Service (IP</w:t>
      </w:r>
      <w:r w:rsidRPr="00417FBF">
        <w:t xml:space="preserve"> Relay</w:t>
      </w:r>
      <w:r>
        <w:t>)</w:t>
      </w:r>
      <w:r w:rsidRPr="00417FBF">
        <w:t>, and Video Relay Service (VRS)</w:t>
      </w:r>
      <w:r>
        <w:t xml:space="preserve">, analog Captioned Telephone Service (CTS) and Speech-to-Speech Service (STS), as the ASCII and Baudot formats were not needed for those services.  </w:t>
      </w:r>
    </w:p>
  </w:footnote>
  <w:footnote w:id="11">
    <w:p w:rsidR="001747A8" w:rsidP="001747A8" w14:paraId="11244C40" w14:textId="60B9EF50">
      <w:pPr>
        <w:pStyle w:val="FootnoteText"/>
      </w:pPr>
      <w:r>
        <w:rPr>
          <w:rStyle w:val="FootnoteReference"/>
        </w:rPr>
        <w:footnoteRef/>
      </w:r>
      <w:r>
        <w:t xml:space="preserve"> </w:t>
      </w:r>
      <w:r w:rsidRPr="00620EDB">
        <w:rPr>
          <w:i/>
          <w:iCs/>
        </w:rPr>
        <w:t>See</w:t>
      </w:r>
      <w:r w:rsidRPr="00417FBF">
        <w:t xml:space="preserve"> Gallaudet University Technology Access Program, </w:t>
      </w:r>
      <w:hyperlink r:id="rId1" w:history="1">
        <w:r w:rsidRPr="00417FBF">
          <w:rPr>
            <w:rStyle w:val="Hyperlink"/>
          </w:rPr>
          <w:t>https://tap.gallaudet.edu/Text/faq1.html</w:t>
        </w:r>
      </w:hyperlink>
      <w:r w:rsidRPr="00417FBF">
        <w:t xml:space="preserve"> (last visited </w:t>
      </w:r>
      <w:r w:rsidR="005A6DB7">
        <w:t>Aug. 21</w:t>
      </w:r>
      <w:r>
        <w:t>, 2026</w:t>
      </w:r>
      <w:r w:rsidRPr="00417FBF">
        <w:t>)</w:t>
      </w:r>
      <w:r w:rsidRPr="003E7503">
        <w:t>.</w:t>
      </w:r>
    </w:p>
  </w:footnote>
  <w:footnote w:id="12">
    <w:p w:rsidR="001747A8" w:rsidP="001747A8" w14:paraId="388DEE38" w14:textId="77777777">
      <w:pPr>
        <w:pStyle w:val="FootnoteText"/>
      </w:pPr>
      <w:r>
        <w:rPr>
          <w:rStyle w:val="FootnoteReference"/>
        </w:rPr>
        <w:footnoteRef/>
      </w:r>
      <w:r>
        <w:t xml:space="preserve"> </w:t>
      </w:r>
      <w:r w:rsidRPr="00B404C4">
        <w:t>Petition for Rulemaking of T-Mobile Accessibility, CG Docket No. 03-123 (filed Aug. 24, 2022)</w:t>
      </w:r>
      <w:r>
        <w:t xml:space="preserve">, </w:t>
      </w:r>
      <w:hyperlink r:id="rId2" w:history="1">
        <w:r w:rsidRPr="00DB2482">
          <w:rPr>
            <w:rStyle w:val="Hyperlink"/>
          </w:rPr>
          <w:t>https://www.fcc.gov/ecfs/document/108241016422142/1</w:t>
        </w:r>
      </w:hyperlink>
      <w:r>
        <w:t xml:space="preserve"> </w:t>
      </w:r>
      <w:r w:rsidRPr="00510558">
        <w:t>(T-Mobile Petition for Rulemaking)</w:t>
      </w:r>
      <w:r w:rsidRPr="00B404C4">
        <w:t>.</w:t>
      </w:r>
    </w:p>
  </w:footnote>
  <w:footnote w:id="13">
    <w:p w:rsidR="001747A8" w:rsidP="001747A8" w14:paraId="37F8B24F" w14:textId="77777777">
      <w:pPr>
        <w:pStyle w:val="FootnoteText"/>
      </w:pPr>
      <w:r>
        <w:rPr>
          <w:rStyle w:val="FootnoteReference"/>
        </w:rPr>
        <w:footnoteRef/>
      </w:r>
      <w:r>
        <w:t xml:space="preserve"> </w:t>
      </w:r>
      <w:r w:rsidRPr="0078482D">
        <w:t>T-Mobile Petition for Rulemaking at 4-7.</w:t>
      </w:r>
    </w:p>
  </w:footnote>
  <w:footnote w:id="14">
    <w:p w:rsidR="001747A8" w:rsidP="001747A8" w14:paraId="5ADD63FA" w14:textId="77777777">
      <w:pPr>
        <w:pStyle w:val="FootnoteText"/>
      </w:pPr>
      <w:r>
        <w:rPr>
          <w:rStyle w:val="FootnoteReference"/>
        </w:rPr>
        <w:footnoteRef/>
      </w:r>
      <w:r>
        <w:t xml:space="preserve"> </w:t>
      </w:r>
      <w:r w:rsidRPr="00883102">
        <w:t xml:space="preserve">Hamilton Relay, Inc., </w:t>
      </w:r>
      <w:r>
        <w:t xml:space="preserve">Comments </w:t>
      </w:r>
      <w:r w:rsidRPr="00883102">
        <w:t>(filed Oct. 24, 2022)</w:t>
      </w:r>
      <w:r>
        <w:t xml:space="preserve">, </w:t>
      </w:r>
      <w:hyperlink r:id="rId3" w:history="1">
        <w:r w:rsidRPr="00DB2482">
          <w:rPr>
            <w:rStyle w:val="Hyperlink"/>
          </w:rPr>
          <w:t>https://www.fcc.gov/ecfs/document/1024288300199/1</w:t>
        </w:r>
      </w:hyperlink>
      <w:r>
        <w:t xml:space="preserve"> (Hamilton 2022 Comments)</w:t>
      </w:r>
      <w:r w:rsidRPr="00883102">
        <w:t>; Accessibility Advocacy and Research Organizations</w:t>
      </w:r>
      <w:r>
        <w:t xml:space="preserve"> Reply</w:t>
      </w:r>
      <w:r w:rsidRPr="00883102">
        <w:t xml:space="preserve"> (filed Nov. 8, 2022)</w:t>
      </w:r>
      <w:r>
        <w:t xml:space="preserve"> (AARO 2022 Reply),</w:t>
      </w:r>
      <w:r w:rsidRPr="00062376">
        <w:t xml:space="preserve"> </w:t>
      </w:r>
      <w:hyperlink r:id="rId4" w:history="1">
        <w:r w:rsidRPr="00DB2482">
          <w:rPr>
            <w:rStyle w:val="Hyperlink"/>
          </w:rPr>
          <w:t>https://www.fcc.gov/ecfs/document/1109585118187/1</w:t>
        </w:r>
      </w:hyperlink>
      <w:r w:rsidRPr="00883102">
        <w:t>.</w:t>
      </w:r>
    </w:p>
  </w:footnote>
  <w:footnote w:id="15">
    <w:p w:rsidR="001747A8" w:rsidP="001747A8" w14:paraId="7A516182" w14:textId="77777777">
      <w:pPr>
        <w:pStyle w:val="FootnoteText"/>
      </w:pPr>
      <w:r>
        <w:rPr>
          <w:rStyle w:val="FootnoteReference"/>
        </w:rPr>
        <w:footnoteRef/>
      </w:r>
      <w:r>
        <w:t xml:space="preserve"> </w:t>
      </w:r>
      <w:r w:rsidRPr="00890472">
        <w:rPr>
          <w:i/>
          <w:iCs/>
        </w:rPr>
        <w:t>Telecommunications Relay Services and Speech-to-Speech Services for Individuals with Hearing and Speech Disabilities</w:t>
      </w:r>
      <w:r w:rsidRPr="00291ED5">
        <w:t xml:space="preserve">, </w:t>
      </w:r>
      <w:r w:rsidRPr="0074677D">
        <w:t xml:space="preserve">CG Docket No. 03-123, RM-11931, </w:t>
      </w:r>
      <w:r w:rsidRPr="00291ED5">
        <w:t xml:space="preserve">Order, </w:t>
      </w:r>
      <w:r w:rsidRPr="00890472">
        <w:t>39 FCC Rcd 12489, para. 1</w:t>
      </w:r>
      <w:r w:rsidRPr="00291ED5">
        <w:t xml:space="preserve"> (CGB 2024).</w:t>
      </w:r>
    </w:p>
  </w:footnote>
  <w:footnote w:id="16">
    <w:p w:rsidR="001747A8" w:rsidRPr="00EE2BB6" w:rsidP="001747A8" w14:paraId="1F16A374" w14:textId="77777777">
      <w:pPr>
        <w:pStyle w:val="FootnoteText"/>
      </w:pPr>
      <w:r>
        <w:rPr>
          <w:rStyle w:val="FootnoteReference"/>
        </w:rPr>
        <w:footnoteRef/>
      </w:r>
      <w:r>
        <w:t xml:space="preserve"> </w:t>
      </w:r>
      <w:r w:rsidRPr="00EE2BB6">
        <w:rPr>
          <w:i/>
          <w:iCs/>
        </w:rPr>
        <w:t>Telecommunications Relay Services and Speech-to-Speech Services for Individuals with Hearing and Speech Disabilities</w:t>
      </w:r>
      <w:r w:rsidRPr="00EE2BB6">
        <w:t xml:space="preserve">, CG Docket No. 03-123, RM-11931, Notice of Proposed Rulemaking, 40 FCC Rcd 4722, </w:t>
      </w:r>
      <w:r>
        <w:t>4274-25</w:t>
      </w:r>
      <w:r w:rsidRPr="00EE2BB6">
        <w:t>, para</w:t>
      </w:r>
      <w:r>
        <w:t>s</w:t>
      </w:r>
      <w:r w:rsidRPr="00EE2BB6">
        <w:t xml:space="preserve">. </w:t>
      </w:r>
      <w:r>
        <w:t>1, 8</w:t>
      </w:r>
      <w:r w:rsidRPr="00EE2BB6">
        <w:t xml:space="preserve"> (2025) (</w:t>
      </w:r>
      <w:r w:rsidRPr="00EE2BB6">
        <w:rPr>
          <w:i/>
          <w:iCs/>
        </w:rPr>
        <w:t xml:space="preserve">2025 ASCII </w:t>
      </w:r>
      <w:r>
        <w:rPr>
          <w:i/>
          <w:iCs/>
        </w:rPr>
        <w:t>Notice</w:t>
      </w:r>
      <w:r w:rsidRPr="00EE2BB6">
        <w:t>).</w:t>
      </w:r>
    </w:p>
  </w:footnote>
  <w:footnote w:id="17">
    <w:p w:rsidR="001747A8" w:rsidRPr="00421BED" w:rsidP="001747A8" w14:paraId="428949EB" w14:textId="77777777">
      <w:pPr>
        <w:pStyle w:val="FootnoteText"/>
        <w:rPr>
          <w:i/>
          <w:iCs/>
        </w:rPr>
      </w:pPr>
      <w:r>
        <w:rPr>
          <w:rStyle w:val="FootnoteReference"/>
        </w:rPr>
        <w:footnoteRef/>
      </w:r>
      <w:r>
        <w:t xml:space="preserve"> </w:t>
      </w:r>
      <w:r w:rsidRPr="004D4EBA">
        <w:rPr>
          <w:i/>
          <w:iCs/>
        </w:rPr>
        <w:t>See, e.g.,</w:t>
      </w:r>
      <w:r w:rsidRPr="004D4EBA">
        <w:t xml:space="preserve"> </w:t>
      </w:r>
      <w:r>
        <w:t xml:space="preserve">T-Mobile USA </w:t>
      </w:r>
      <w:r w:rsidRPr="004D4EBA">
        <w:t>Reply at 1 (filed Nov. 18, 2025)</w:t>
      </w:r>
      <w:r>
        <w:t xml:space="preserve"> (T-Mobile Reply), </w:t>
      </w:r>
      <w:hyperlink r:id="rId5" w:history="1">
        <w:r w:rsidRPr="00DB2482">
          <w:rPr>
            <w:rStyle w:val="Hyperlink"/>
          </w:rPr>
          <w:t>https://www.fcc.gov/ecfs/document/1118158375423/1</w:t>
        </w:r>
      </w:hyperlink>
      <w:r w:rsidRPr="004D4EBA">
        <w:t>; TEDPA and NASRA</w:t>
      </w:r>
      <w:r>
        <w:t xml:space="preserve"> Comments</w:t>
      </w:r>
      <w:r w:rsidRPr="004D4EBA">
        <w:t xml:space="preserve"> at 1 (filed Sept. 23, 2025)</w:t>
      </w:r>
      <w:r>
        <w:t xml:space="preserve">, </w:t>
      </w:r>
      <w:hyperlink r:id="rId6" w:history="1">
        <w:r w:rsidRPr="00DB2482">
          <w:rPr>
            <w:rStyle w:val="Hyperlink"/>
          </w:rPr>
          <w:t>https://www.fcc.gov/ecfs/document/10923065070295/1</w:t>
        </w:r>
      </w:hyperlink>
      <w:r w:rsidRPr="004D4EBA">
        <w:t>; Hamilton Relay, Inc.</w:t>
      </w:r>
      <w:r>
        <w:t xml:space="preserve"> Comments</w:t>
      </w:r>
      <w:r w:rsidRPr="004D4EBA">
        <w:t xml:space="preserve"> at 1 (filed Sept. 26, 2025)</w:t>
      </w:r>
      <w:r>
        <w:t xml:space="preserve"> (Hamilton 2025 Comments), </w:t>
      </w:r>
      <w:hyperlink r:id="rId7" w:history="1">
        <w:r w:rsidRPr="00DB2482">
          <w:rPr>
            <w:rStyle w:val="Hyperlink"/>
          </w:rPr>
          <w:t>https://www.fcc.gov/ecfs/document/109261610312057/1</w:t>
        </w:r>
      </w:hyperlink>
      <w:r w:rsidRPr="004D4EBA">
        <w:t>; Disability Belongs</w:t>
      </w:r>
      <w:r>
        <w:t xml:space="preserve"> Comments</w:t>
      </w:r>
      <w:r w:rsidRPr="004D4EBA">
        <w:t xml:space="preserve"> at 1 (filed Sept. 24, 2025)</w:t>
      </w:r>
      <w:r>
        <w:t xml:space="preserve">, </w:t>
      </w:r>
      <w:hyperlink r:id="rId8" w:history="1">
        <w:r w:rsidRPr="00DB2482">
          <w:rPr>
            <w:rStyle w:val="Hyperlink"/>
          </w:rPr>
          <w:t>https://www.fcc.gov/ecfs/document/10924530801746/1</w:t>
        </w:r>
      </w:hyperlink>
      <w:r w:rsidRPr="004D4EBA">
        <w:t>.</w:t>
      </w:r>
      <w:r>
        <w:t xml:space="preserve">  In addition, Hamilton Relay filed a comment in a separate proceeding requesting that the Commission grant T-Mobile’s requested rule change, or alternatively, a permanent waiver of the ASCII TRS requirement due to its infrequent use.  Comments of Hamilton Relay, GN Docket No. 25-133, at 3 (filed Apr. 14, 2025), </w:t>
      </w:r>
      <w:hyperlink r:id="rId9" w:history="1">
        <w:r w:rsidRPr="00DB38BC">
          <w:rPr>
            <w:rStyle w:val="Hyperlink"/>
          </w:rPr>
          <w:t>https://www.fcc.gov/ecfs/document/10411511105125/1</w:t>
        </w:r>
      </w:hyperlink>
      <w:r>
        <w:t xml:space="preserve">.  </w:t>
      </w:r>
      <w:r w:rsidRPr="00F22E67">
        <w:t xml:space="preserve">We hereby incorporate all relevant comments and </w:t>
      </w:r>
      <w:r w:rsidRPr="00F22E67">
        <w:rPr>
          <w:i/>
          <w:iCs/>
        </w:rPr>
        <w:t xml:space="preserve">ex </w:t>
      </w:r>
      <w:r w:rsidRPr="00F22E67">
        <w:rPr>
          <w:i/>
          <w:iCs/>
        </w:rPr>
        <w:t>parte</w:t>
      </w:r>
      <w:r w:rsidRPr="00F22E67">
        <w:t xml:space="preserve"> presentations in GN Docket No. 25-133 into this docket.  Commenters need not resubmit material previously filed in those proceedings.</w:t>
      </w:r>
      <w:r>
        <w:t xml:space="preserve"> </w:t>
      </w:r>
    </w:p>
  </w:footnote>
  <w:footnote w:id="18">
    <w:p w:rsidR="001747A8" w:rsidP="001747A8" w14:paraId="27E59FBA" w14:textId="77777777">
      <w:pPr>
        <w:pStyle w:val="FootnoteText"/>
      </w:pPr>
      <w:r>
        <w:rPr>
          <w:rStyle w:val="FootnoteReference"/>
        </w:rPr>
        <w:footnoteRef/>
      </w:r>
      <w:r>
        <w:t xml:space="preserve"> </w:t>
      </w:r>
      <w:r w:rsidRPr="00302DE1">
        <w:rPr>
          <w:i/>
          <w:iCs/>
        </w:rPr>
        <w:t xml:space="preserve">2025 ASCII </w:t>
      </w:r>
      <w:r>
        <w:rPr>
          <w:i/>
          <w:iCs/>
        </w:rPr>
        <w:t>Notice</w:t>
      </w:r>
      <w:r>
        <w:t xml:space="preserve">, 40 FCC Rcd at 4724-25, </w:t>
      </w:r>
      <w:r w:rsidRPr="00302DE1">
        <w:t>para. 8</w:t>
      </w:r>
      <w:r>
        <w:t xml:space="preserve">; 47 CFR </w:t>
      </w:r>
      <w:r w:rsidRPr="008F75D7">
        <w:t>§</w:t>
      </w:r>
      <w:r>
        <w:t xml:space="preserve"> 64.604(b)(1)</w:t>
      </w:r>
      <w:r w:rsidRPr="00302DE1">
        <w:t>.</w:t>
      </w:r>
    </w:p>
  </w:footnote>
  <w:footnote w:id="19">
    <w:p w:rsidR="001747A8" w:rsidP="001747A8" w14:paraId="2F2D76DE" w14:textId="77777777">
      <w:pPr>
        <w:pStyle w:val="FootnoteText"/>
      </w:pPr>
      <w:r>
        <w:rPr>
          <w:rStyle w:val="FootnoteReference"/>
        </w:rPr>
        <w:footnoteRef/>
      </w:r>
      <w:r>
        <w:t xml:space="preserve"> 47 CFR § 64.601(a)(7).</w:t>
      </w:r>
    </w:p>
  </w:footnote>
  <w:footnote w:id="20">
    <w:p w:rsidR="001747A8" w:rsidRPr="00804BCB" w:rsidP="001747A8" w14:paraId="7E35E362" w14:textId="35A9479F">
      <w:pPr>
        <w:pStyle w:val="FootnoteText"/>
      </w:pPr>
      <w:r>
        <w:rPr>
          <w:rStyle w:val="FootnoteReference"/>
        </w:rPr>
        <w:footnoteRef/>
      </w:r>
      <w:r>
        <w:t xml:space="preserve"> </w:t>
      </w:r>
      <w:r w:rsidRPr="00302DE1">
        <w:rPr>
          <w:i/>
          <w:iCs/>
        </w:rPr>
        <w:t xml:space="preserve">2025 ASCII </w:t>
      </w:r>
      <w:r>
        <w:rPr>
          <w:i/>
          <w:iCs/>
        </w:rPr>
        <w:t>Notice</w:t>
      </w:r>
      <w:r>
        <w:t xml:space="preserve">, 40 FCC Rcd at 4724-25, </w:t>
      </w:r>
      <w:r w:rsidRPr="00302DE1">
        <w:t>para. 8.</w:t>
      </w:r>
      <w:r>
        <w:t xml:space="preserve"> </w:t>
      </w:r>
      <w:r w:rsidR="006E2E66">
        <w:t xml:space="preserve"> </w:t>
      </w:r>
      <w:r>
        <w:rPr>
          <w:i/>
          <w:iCs/>
        </w:rPr>
        <w:t>See also</w:t>
      </w:r>
      <w:r>
        <w:t xml:space="preserve"> </w:t>
      </w:r>
      <w:r w:rsidRPr="00804BCB">
        <w:t>T-Mobile Petition for Rulemaking at 4-5 (during a three month period in 2022, 13 users placed ASCII calls totaling approximately 60 minutes of TRS use which represents a “tiny fraction” of overall TRS call minutes)</w:t>
      </w:r>
      <w:r>
        <w:t xml:space="preserve">; Hamilton 2022 Comments at 2 (Hamilton had single-digit ASCII usage rates for TTY-based relay); </w:t>
      </w:r>
      <w:r w:rsidRPr="00804BCB">
        <w:t>Hamilton 2025 Comments at 3 (since the ASCII requirement was waived in Nov. 2024, Hamilton has not had a single request from a TTY-based TRS user to have ASCII made available)</w:t>
      </w:r>
      <w:r>
        <w:t>.</w:t>
      </w:r>
    </w:p>
  </w:footnote>
  <w:footnote w:id="21">
    <w:p w:rsidR="001747A8" w:rsidP="001747A8" w14:paraId="74612467" w14:textId="1F2CEB79">
      <w:pPr>
        <w:pStyle w:val="FootnoteText"/>
      </w:pPr>
      <w:r>
        <w:rPr>
          <w:rStyle w:val="FootnoteReference"/>
        </w:rPr>
        <w:footnoteRef/>
      </w:r>
      <w:r>
        <w:t xml:space="preserve"> Hamilton</w:t>
      </w:r>
      <w:r w:rsidR="000E659D">
        <w:t xml:space="preserve"> 2025</w:t>
      </w:r>
      <w:r>
        <w:t xml:space="preserve"> Comments at 3.</w:t>
      </w:r>
    </w:p>
  </w:footnote>
  <w:footnote w:id="22">
    <w:p w:rsidR="001747A8" w:rsidP="001747A8" w14:paraId="4DBE82B8" w14:textId="77777777">
      <w:pPr>
        <w:pStyle w:val="FootnoteText"/>
      </w:pPr>
      <w:r>
        <w:rPr>
          <w:rStyle w:val="FootnoteReference"/>
        </w:rPr>
        <w:footnoteRef/>
      </w:r>
      <w:r>
        <w:t xml:space="preserve"> </w:t>
      </w:r>
      <w:r w:rsidRPr="00BE2E49">
        <w:t xml:space="preserve">TEDPA and NASRA </w:t>
      </w:r>
      <w:r>
        <w:t xml:space="preserve">Comments </w:t>
      </w:r>
      <w:r w:rsidRPr="00BE2E49">
        <w:t>at 1.</w:t>
      </w:r>
    </w:p>
  </w:footnote>
  <w:footnote w:id="23">
    <w:p w:rsidR="001747A8" w:rsidP="001747A8" w14:paraId="20A9BE10" w14:textId="77777777">
      <w:pPr>
        <w:pStyle w:val="FootnoteText"/>
      </w:pPr>
      <w:r>
        <w:rPr>
          <w:rStyle w:val="FootnoteReference"/>
        </w:rPr>
        <w:footnoteRef/>
      </w:r>
      <w:r>
        <w:t xml:space="preserve"> </w:t>
      </w:r>
      <w:r w:rsidRPr="00AF4DE9">
        <w:t xml:space="preserve">Disability Belongs </w:t>
      </w:r>
      <w:r>
        <w:t xml:space="preserve">Comments </w:t>
      </w:r>
      <w:r w:rsidRPr="00AF4DE9">
        <w:t xml:space="preserve">at 1; </w:t>
      </w:r>
      <w:r>
        <w:t>AARO 2022 Reply</w:t>
      </w:r>
      <w:r w:rsidRPr="00AF4DE9">
        <w:t xml:space="preserve"> at 2.</w:t>
      </w:r>
    </w:p>
  </w:footnote>
  <w:footnote w:id="24">
    <w:p w:rsidR="001747A8" w:rsidP="001747A8" w14:paraId="2AED30E6" w14:textId="77777777">
      <w:pPr>
        <w:pStyle w:val="FootnoteText"/>
      </w:pPr>
      <w:r>
        <w:rPr>
          <w:rStyle w:val="FootnoteReference"/>
        </w:rPr>
        <w:footnoteRef/>
      </w:r>
      <w:r>
        <w:t xml:space="preserve"> 47 CFR § 64.604(b)(1).</w:t>
      </w:r>
    </w:p>
  </w:footnote>
  <w:footnote w:id="25">
    <w:p w:rsidR="001747A8" w:rsidP="001747A8" w14:paraId="6879AD29" w14:textId="77777777">
      <w:pPr>
        <w:pStyle w:val="FootnoteText"/>
      </w:pPr>
      <w:r>
        <w:rPr>
          <w:rStyle w:val="FootnoteReference"/>
        </w:rPr>
        <w:footnoteRef/>
      </w:r>
      <w:r>
        <w:t xml:space="preserve"> </w:t>
      </w:r>
      <w:r w:rsidRPr="00250FDE">
        <w:rPr>
          <w:i/>
          <w:iCs/>
        </w:rPr>
        <w:t xml:space="preserve">2025 ASCII </w:t>
      </w:r>
      <w:r>
        <w:rPr>
          <w:i/>
          <w:iCs/>
        </w:rPr>
        <w:t>Notice</w:t>
      </w:r>
      <w:r w:rsidRPr="00250FDE">
        <w:t>, 40 FCC Rcd at 4725, para. 11</w:t>
      </w:r>
      <w:r>
        <w:t>.</w:t>
      </w:r>
    </w:p>
  </w:footnote>
  <w:footnote w:id="26">
    <w:p w:rsidR="001747A8" w:rsidP="001747A8" w14:paraId="1EF4F449" w14:textId="77777777">
      <w:pPr>
        <w:pStyle w:val="FootnoteText"/>
      </w:pPr>
      <w:r>
        <w:rPr>
          <w:rStyle w:val="FootnoteReference"/>
        </w:rPr>
        <w:footnoteRef/>
      </w:r>
      <w:r>
        <w:t xml:space="preserve"> </w:t>
      </w:r>
      <w:r w:rsidRPr="00404C8F">
        <w:t xml:space="preserve">Hamilton </w:t>
      </w:r>
      <w:r>
        <w:t>2025 Comments</w:t>
      </w:r>
      <w:r w:rsidRPr="00404C8F">
        <w:t xml:space="preserve"> at 3</w:t>
      </w:r>
      <w:r>
        <w:t>.</w:t>
      </w:r>
    </w:p>
  </w:footnote>
  <w:footnote w:id="27">
    <w:p w:rsidR="001747A8" w:rsidP="001747A8" w14:paraId="364C47B2" w14:textId="77777777">
      <w:pPr>
        <w:pStyle w:val="FootnoteText"/>
      </w:pPr>
      <w:r>
        <w:rPr>
          <w:rStyle w:val="FootnoteReference"/>
        </w:rPr>
        <w:footnoteRef/>
      </w:r>
      <w:r>
        <w:t xml:space="preserve"> </w:t>
      </w:r>
      <w:r w:rsidRPr="009A1FBB">
        <w:rPr>
          <w:i/>
          <w:iCs/>
        </w:rPr>
        <w:t xml:space="preserve">2025 ASCII </w:t>
      </w:r>
      <w:r>
        <w:rPr>
          <w:i/>
          <w:iCs/>
        </w:rPr>
        <w:t>Notice</w:t>
      </w:r>
      <w:r>
        <w:t xml:space="preserve">, 40 FCC Rcd </w:t>
      </w:r>
      <w:r w:rsidRPr="009A1FBB">
        <w:t xml:space="preserve">at </w:t>
      </w:r>
      <w:r>
        <w:t xml:space="preserve">4725-26, </w:t>
      </w:r>
      <w:r w:rsidRPr="009A1FBB">
        <w:t>paras. 12-16.</w:t>
      </w:r>
    </w:p>
  </w:footnote>
  <w:footnote w:id="28">
    <w:p w:rsidR="001747A8" w:rsidP="001747A8" w14:paraId="276753D4" w14:textId="77777777">
      <w:pPr>
        <w:pStyle w:val="FootnoteText"/>
      </w:pPr>
      <w:r>
        <w:rPr>
          <w:rStyle w:val="FootnoteReference"/>
        </w:rPr>
        <w:footnoteRef/>
      </w:r>
      <w:r>
        <w:t xml:space="preserve"> </w:t>
      </w:r>
      <w:r>
        <w:rPr>
          <w:i/>
          <w:iCs/>
        </w:rPr>
        <w:t>Id.</w:t>
      </w:r>
      <w:r>
        <w:t xml:space="preserve"> at</w:t>
      </w:r>
      <w:r w:rsidRPr="009B67AA">
        <w:t xml:space="preserve"> 4726, para. </w:t>
      </w:r>
      <w:r>
        <w:t>17</w:t>
      </w:r>
      <w:r w:rsidRPr="009B67AA">
        <w:t>.</w:t>
      </w:r>
    </w:p>
  </w:footnote>
  <w:footnote w:id="29">
    <w:p w:rsidR="001747A8" w:rsidP="001747A8" w14:paraId="4207AF87" w14:textId="77777777">
      <w:pPr>
        <w:pStyle w:val="FootnoteText"/>
      </w:pPr>
      <w:r>
        <w:rPr>
          <w:rStyle w:val="FootnoteReference"/>
        </w:rPr>
        <w:footnoteRef/>
      </w:r>
      <w:r>
        <w:t xml:space="preserve"> T-Mobile </w:t>
      </w:r>
      <w:r w:rsidRPr="006329B7">
        <w:t>Reply at 4.</w:t>
      </w:r>
    </w:p>
  </w:footnote>
  <w:footnote w:id="30">
    <w:p w:rsidR="001747A8" w:rsidP="001747A8" w14:paraId="3BE59AC5" w14:textId="77777777">
      <w:pPr>
        <w:pStyle w:val="FootnoteText"/>
      </w:pPr>
      <w:r>
        <w:rPr>
          <w:rStyle w:val="FootnoteReference"/>
        </w:rPr>
        <w:footnoteRef/>
      </w:r>
      <w:r>
        <w:t xml:space="preserve"> </w:t>
      </w:r>
      <w:r w:rsidRPr="005E097D">
        <w:rPr>
          <w:i/>
          <w:iCs/>
        </w:rPr>
        <w:t>Id</w:t>
      </w:r>
      <w:r>
        <w:t xml:space="preserve">. (citing 47 U.S.C. § 225(b)(1)). </w:t>
      </w:r>
    </w:p>
  </w:footnote>
  <w:footnote w:id="31">
    <w:p w:rsidR="001747A8" w:rsidP="001747A8" w14:paraId="726F5167" w14:textId="77777777">
      <w:pPr>
        <w:pStyle w:val="FootnoteText"/>
      </w:pPr>
      <w:r>
        <w:rPr>
          <w:rStyle w:val="FootnoteReference"/>
        </w:rPr>
        <w:footnoteRef/>
      </w:r>
      <w:r>
        <w:t xml:space="preserve"> </w:t>
      </w:r>
      <w:r w:rsidRPr="00786AFB">
        <w:rPr>
          <w:i/>
          <w:iCs/>
        </w:rPr>
        <w:t xml:space="preserve">2025 ASCII </w:t>
      </w:r>
      <w:r>
        <w:rPr>
          <w:i/>
          <w:iCs/>
        </w:rPr>
        <w:t>Notice</w:t>
      </w:r>
      <w:r w:rsidRPr="00786AFB">
        <w:t>, 40 FCC Rcd at 472</w:t>
      </w:r>
      <w:r>
        <w:t>5</w:t>
      </w:r>
      <w:r w:rsidRPr="00786AFB">
        <w:t>, para. 1</w:t>
      </w:r>
      <w:r>
        <w:t>3</w:t>
      </w:r>
      <w:r w:rsidRPr="00786AFB">
        <w:t>.</w:t>
      </w:r>
    </w:p>
  </w:footnote>
  <w:footnote w:id="32">
    <w:p w:rsidR="001747A8" w:rsidP="001747A8" w14:paraId="3392D474" w14:textId="77777777">
      <w:pPr>
        <w:pStyle w:val="FootnoteText"/>
      </w:pPr>
      <w:r>
        <w:rPr>
          <w:rStyle w:val="FootnoteReference"/>
        </w:rPr>
        <w:footnoteRef/>
      </w:r>
      <w:r>
        <w:t xml:space="preserve"> </w:t>
      </w:r>
      <w:r>
        <w:rPr>
          <w:i/>
          <w:iCs/>
        </w:rPr>
        <w:t>Id.</w:t>
      </w:r>
      <w:r w:rsidRPr="00FE4CBA">
        <w:t xml:space="preserve"> at 4726, paras. 1</w:t>
      </w:r>
      <w:r>
        <w:t>4</w:t>
      </w:r>
      <w:r w:rsidRPr="00FE4CBA">
        <w:t>-16.</w:t>
      </w:r>
    </w:p>
  </w:footnote>
  <w:footnote w:id="33">
    <w:p w:rsidR="001747A8" w:rsidP="001747A8" w14:paraId="22ED3FAF" w14:textId="77777777">
      <w:pPr>
        <w:pStyle w:val="FootnoteText"/>
      </w:pPr>
      <w:r>
        <w:rPr>
          <w:rStyle w:val="FootnoteReference"/>
        </w:rPr>
        <w:footnoteRef/>
      </w:r>
      <w:r>
        <w:t xml:space="preserve"> Hamilton 2025 </w:t>
      </w:r>
      <w:r w:rsidRPr="00C4231C">
        <w:t>Comments at 3</w:t>
      </w:r>
      <w:r>
        <w:t xml:space="preserve">; see also </w:t>
      </w:r>
      <w:r w:rsidRPr="00EF2367">
        <w:rPr>
          <w:i/>
        </w:rPr>
        <w:t>supra</w:t>
      </w:r>
      <w:r>
        <w:t xml:space="preserve"> para. 7. </w:t>
      </w:r>
    </w:p>
  </w:footnote>
  <w:footnote w:id="34">
    <w:p w:rsidR="001747A8" w:rsidP="001747A8" w14:paraId="02B0D260" w14:textId="77777777">
      <w:pPr>
        <w:pStyle w:val="FootnoteText"/>
      </w:pPr>
      <w:r>
        <w:rPr>
          <w:rStyle w:val="FootnoteReference"/>
        </w:rPr>
        <w:footnoteRef/>
      </w:r>
      <w:r>
        <w:t xml:space="preserve"> </w:t>
      </w:r>
      <w:r w:rsidRPr="005E097D">
        <w:rPr>
          <w:i/>
          <w:iCs/>
        </w:rPr>
        <w:t>Id</w:t>
      </w:r>
      <w:r>
        <w:t>.</w:t>
      </w:r>
      <w:r w:rsidRPr="00137059">
        <w:t xml:space="preserve"> at </w:t>
      </w:r>
      <w:r>
        <w:t>4</w:t>
      </w:r>
      <w:r w:rsidRPr="00137059">
        <w:t>.</w:t>
      </w:r>
      <w:r>
        <w:t xml:space="preserve">  To the extent a different solution is needed, Hamilton believes such solutions will be equally easy to implement.  </w:t>
      </w:r>
      <w:r>
        <w:rPr>
          <w:i/>
          <w:iCs/>
        </w:rPr>
        <w:t>Id</w:t>
      </w:r>
      <w:r>
        <w:t xml:space="preserve">. </w:t>
      </w:r>
    </w:p>
  </w:footnote>
  <w:footnote w:id="35">
    <w:p w:rsidR="001747A8" w:rsidP="001747A8" w14:paraId="54837062" w14:textId="77777777">
      <w:pPr>
        <w:pStyle w:val="FootnoteText"/>
      </w:pPr>
      <w:r>
        <w:rPr>
          <w:rStyle w:val="FootnoteReference"/>
        </w:rPr>
        <w:footnoteRef/>
      </w:r>
      <w:r>
        <w:t xml:space="preserve"> </w:t>
      </w:r>
      <w:r w:rsidRPr="00373954">
        <w:t xml:space="preserve">Disability Belongs </w:t>
      </w:r>
      <w:r>
        <w:t xml:space="preserve">Comments </w:t>
      </w:r>
      <w:r w:rsidRPr="00373954">
        <w:t>at 1-2.</w:t>
      </w:r>
    </w:p>
  </w:footnote>
  <w:footnote w:id="36">
    <w:p w:rsidR="001747A8" w:rsidP="001747A8" w14:paraId="517B52B1" w14:textId="77777777">
      <w:pPr>
        <w:pStyle w:val="FootnoteText"/>
      </w:pPr>
      <w:r>
        <w:rPr>
          <w:rStyle w:val="FootnoteReference"/>
        </w:rPr>
        <w:footnoteRef/>
      </w:r>
      <w:r>
        <w:t xml:space="preserve"> Hamilton 2025 </w:t>
      </w:r>
      <w:r w:rsidRPr="00605035">
        <w:t xml:space="preserve">Comments at </w:t>
      </w:r>
      <w:r>
        <w:t>4</w:t>
      </w:r>
      <w:r w:rsidRPr="00605035">
        <w:t xml:space="preserve">; see also </w:t>
      </w:r>
      <w:r>
        <w:t xml:space="preserve">T-Mobile </w:t>
      </w:r>
      <w:r w:rsidRPr="00605035">
        <w:t>Petition for Rulemaking at 5-6.</w:t>
      </w:r>
    </w:p>
  </w:footnote>
  <w:footnote w:id="37">
    <w:p w:rsidR="001747A8" w:rsidP="001747A8" w14:paraId="03204126" w14:textId="77777777">
      <w:pPr>
        <w:pStyle w:val="FootnoteText"/>
      </w:pPr>
      <w:r>
        <w:rPr>
          <w:rStyle w:val="FootnoteReference"/>
        </w:rPr>
        <w:footnoteRef/>
      </w:r>
      <w:r>
        <w:t xml:space="preserve"> T-Mobile </w:t>
      </w:r>
      <w:r w:rsidRPr="004915B4">
        <w:t>Reply at 4.</w:t>
      </w:r>
    </w:p>
  </w:footnote>
  <w:footnote w:id="38">
    <w:p w:rsidR="001747A8" w:rsidP="001747A8" w14:paraId="076FF10D" w14:textId="77777777">
      <w:pPr>
        <w:pStyle w:val="FootnoteText"/>
      </w:pPr>
      <w:r>
        <w:rPr>
          <w:rStyle w:val="FootnoteReference"/>
        </w:rPr>
        <w:footnoteRef/>
      </w:r>
      <w:r>
        <w:t xml:space="preserve"> 47 CFR § 64.601(a)(7). </w:t>
      </w:r>
    </w:p>
  </w:footnote>
  <w:footnote w:id="39">
    <w:p w:rsidR="001747A8" w:rsidP="001747A8" w14:paraId="6C7F3393" w14:textId="77777777">
      <w:pPr>
        <w:pStyle w:val="FootnoteText"/>
      </w:pPr>
      <w:r>
        <w:rPr>
          <w:rStyle w:val="FootnoteReference"/>
        </w:rPr>
        <w:footnoteRef/>
      </w:r>
      <w:r>
        <w:t xml:space="preserve"> 5 U.S.C. § 553(b)(B). </w:t>
      </w:r>
    </w:p>
  </w:footnote>
  <w:footnote w:id="40">
    <w:p w:rsidR="001747A8" w:rsidP="001747A8" w14:paraId="66EA738B" w14:textId="77777777">
      <w:pPr>
        <w:pStyle w:val="FootnoteText"/>
      </w:pPr>
      <w:r>
        <w:rPr>
          <w:rStyle w:val="FootnoteReference"/>
        </w:rPr>
        <w:footnoteRef/>
      </w:r>
      <w:r>
        <w:t xml:space="preserve"> </w:t>
      </w:r>
      <w:r w:rsidRPr="00B871E2">
        <w:rPr>
          <w:i/>
          <w:iCs/>
        </w:rPr>
        <w:t>Util. Solid Waste Activities Grp. v. EPA</w:t>
      </w:r>
      <w:r w:rsidRPr="00B871E2">
        <w:t>, 236 F.3d 749, 755 (D.C. Cir. 2001).</w:t>
      </w:r>
    </w:p>
  </w:footnote>
  <w:footnote w:id="41">
    <w:p w:rsidR="001747A8" w:rsidRPr="00880B3E" w:rsidP="001747A8" w14:paraId="4B5F94CE" w14:textId="77777777">
      <w:pPr>
        <w:pStyle w:val="FootnoteText"/>
      </w:pPr>
      <w:r>
        <w:rPr>
          <w:rStyle w:val="FootnoteReference"/>
        </w:rPr>
        <w:footnoteRef/>
      </w:r>
      <w:r>
        <w:t xml:space="preserve"> </w:t>
      </w:r>
      <w:r>
        <w:rPr>
          <w:i/>
          <w:iCs/>
        </w:rPr>
        <w:t>See</w:t>
      </w:r>
      <w:r>
        <w:t xml:space="preserve"> </w:t>
      </w:r>
      <w:r>
        <w:rPr>
          <w:i/>
          <w:iCs/>
        </w:rPr>
        <w:t>Delete, Delete, Delete</w:t>
      </w:r>
      <w:r>
        <w:t xml:space="preserve">, GN Docket No. 25-133, Direct Final Rule, 40 FCC Rcd 8166, 8180, App. A. (2025) (removing and reserving 47 CFR 64.607). </w:t>
      </w:r>
    </w:p>
  </w:footnote>
  <w:footnote w:id="42">
    <w:p w:rsidR="001747A8" w:rsidP="001747A8" w14:paraId="2CDC7F99" w14:textId="77777777">
      <w:pPr>
        <w:pStyle w:val="FootnoteText"/>
      </w:pPr>
      <w:r>
        <w:rPr>
          <w:rStyle w:val="FootnoteReference"/>
        </w:rPr>
        <w:footnoteRef/>
      </w:r>
      <w:r>
        <w:t xml:space="preserve"> 5 U.S.C. § 553(b)(B).</w:t>
      </w:r>
    </w:p>
  </w:footnote>
  <w:footnote w:id="43">
    <w:p w:rsidR="001747A8" w:rsidP="001747A8" w14:paraId="2217E57A" w14:textId="77777777">
      <w:pPr>
        <w:pStyle w:val="FootnoteText"/>
      </w:pPr>
      <w:r>
        <w:rPr>
          <w:rStyle w:val="FootnoteReference"/>
        </w:rPr>
        <w:footnoteRef/>
      </w:r>
      <w:r>
        <w:t xml:space="preserve"> </w:t>
      </w:r>
      <w:r w:rsidRPr="002276D0">
        <w:t>Pub. L. No. 104-13, 109 Stat. 163 (1995) (codified at 44 U.S.C. §§ 3501-3520).</w:t>
      </w:r>
    </w:p>
  </w:footnote>
  <w:footnote w:id="44">
    <w:p w:rsidR="001747A8" w:rsidP="001747A8" w14:paraId="09CB4B72" w14:textId="77777777">
      <w:pPr>
        <w:pStyle w:val="FootnoteText"/>
      </w:pPr>
      <w:r>
        <w:rPr>
          <w:rStyle w:val="FootnoteReference"/>
        </w:rPr>
        <w:footnoteRef/>
      </w:r>
      <w:r>
        <w:t xml:space="preserve"> </w:t>
      </w:r>
      <w:r w:rsidRPr="002276D0">
        <w:t>Pub. L. No. 107-98 (codified at 44 U.S.C. 3506(c)(4)).</w:t>
      </w:r>
    </w:p>
  </w:footnote>
  <w:footnote w:id="45">
    <w:p w:rsidR="001747A8" w:rsidP="001747A8" w14:paraId="571A0AE3" w14:textId="77777777">
      <w:pPr>
        <w:pStyle w:val="FootnoteText"/>
      </w:pPr>
      <w:r w:rsidRPr="00523EFD">
        <w:rPr>
          <w:rStyle w:val="FootnoteReference"/>
        </w:rPr>
        <w:footnoteRef/>
      </w:r>
      <w:r>
        <w:t xml:space="preserve"> </w:t>
      </w:r>
      <w:r w:rsidRPr="000F0FCB">
        <w:t xml:space="preserve">5 U.S.C. §§ 601 </w:t>
      </w:r>
      <w:r w:rsidRPr="000F0FCB">
        <w:rPr>
          <w:i/>
        </w:rPr>
        <w:t>et seq</w:t>
      </w:r>
      <w:r w:rsidRPr="000F0FCB">
        <w:t>., as amended by the Small Business Regulatory Enforcement and Fairness Act (SBREFA), Pub. L. No. 104-121, 110 Stat. 847 (1996).</w:t>
      </w:r>
    </w:p>
  </w:footnote>
  <w:footnote w:id="46">
    <w:p w:rsidR="001747A8" w:rsidP="001747A8" w14:paraId="1D208254" w14:textId="77777777">
      <w:pPr>
        <w:pStyle w:val="FootnoteText"/>
      </w:pPr>
      <w:r w:rsidRPr="009B1779">
        <w:rPr>
          <w:rStyle w:val="FootnoteReference"/>
        </w:rPr>
        <w:footnoteRef/>
      </w:r>
      <w:r>
        <w:t xml:space="preserve"> 5 U.S.C. </w:t>
      </w:r>
      <w:r w:rsidRPr="008A089C">
        <w:t>§</w:t>
      </w:r>
      <w:r>
        <w:t xml:space="preserve"> 605(b). </w:t>
      </w:r>
    </w:p>
  </w:footnote>
  <w:footnote w:id="47">
    <w:p w:rsidR="001747A8" w:rsidRPr="00745043" w:rsidP="001747A8" w14:paraId="03349E85" w14:textId="77777777">
      <w:pPr>
        <w:pStyle w:val="FootnoteText"/>
      </w:pPr>
      <w:r w:rsidRPr="009B1779">
        <w:rPr>
          <w:rStyle w:val="FootnoteReference"/>
        </w:rPr>
        <w:footnoteRef/>
      </w:r>
      <w:r w:rsidRPr="00745043">
        <w:t xml:space="preserve"> </w:t>
      </w:r>
      <w:r>
        <w:t>5 U.S.C.</w:t>
      </w:r>
      <w:r w:rsidRPr="00745043">
        <w:t xml:space="preserve"> § 801(a)(1)(A).</w:t>
      </w:r>
    </w:p>
  </w:footnote>
  <w:footnote w:id="48">
    <w:p w:rsidR="001747A8" w:rsidP="001747A8" w14:paraId="14B20B2B" w14:textId="77777777">
      <w:pPr>
        <w:pStyle w:val="FootnoteText"/>
      </w:pPr>
      <w:r>
        <w:rPr>
          <w:rStyle w:val="FootnoteReference"/>
        </w:rPr>
        <w:footnoteRef/>
      </w:r>
      <w:r>
        <w:t xml:space="preserve"> Pursuant to Executive Order 14215, 90 Fed. Reg. 10447 (Feb. 24, 2025), this regulatory action has been determined to be not significant under Executive Order 12866, 58 Fed. Reg. 51735 (Oct. 4, 1993).</w:t>
      </w:r>
    </w:p>
  </w:footnote>
  <w:footnote w:id="49">
    <w:p w:rsidR="001747A8" w:rsidRPr="0068065B" w:rsidP="001747A8" w14:paraId="0D63229B" w14:textId="77777777">
      <w:pPr>
        <w:pStyle w:val="FootnoteText"/>
      </w:pPr>
      <w:r>
        <w:rPr>
          <w:rStyle w:val="FootnoteReference"/>
        </w:rPr>
        <w:footnoteRef/>
      </w:r>
      <w:r>
        <w:t xml:space="preserve"> </w:t>
      </w:r>
      <w:r w:rsidRPr="00761377">
        <w:rPr>
          <w:szCs w:val="22"/>
        </w:rPr>
        <w:t xml:space="preserve">5 U.S.C. §§ 601 </w:t>
      </w:r>
      <w:r w:rsidRPr="00761377">
        <w:rPr>
          <w:i/>
          <w:szCs w:val="22"/>
        </w:rPr>
        <w:t>et seq</w:t>
      </w:r>
      <w:r w:rsidRPr="00761377">
        <w:rPr>
          <w:szCs w:val="22"/>
        </w:rPr>
        <w:t>., as amended by the Small Business Regulatory Enforcement and Fairness Act (SBREFA), Pub. L. No. 104-121, 110 Stat. 847 (199</w:t>
      </w:r>
      <w:r>
        <w:rPr>
          <w:szCs w:val="22"/>
        </w:rPr>
        <w:t>6)</w:t>
      </w:r>
      <w:r w:rsidRPr="00F17E24">
        <w:t>.</w:t>
      </w:r>
    </w:p>
  </w:footnote>
  <w:footnote w:id="50">
    <w:p w:rsidR="001747A8" w:rsidRPr="0068065B" w:rsidP="001747A8" w14:paraId="2F333E58" w14:textId="77777777">
      <w:pPr>
        <w:pStyle w:val="FootnoteText"/>
      </w:pPr>
      <w:r w:rsidRPr="0068065B">
        <w:rPr>
          <w:rStyle w:val="FootnoteReference"/>
        </w:rPr>
        <w:footnoteRef/>
      </w:r>
      <w:r>
        <w:t xml:space="preserve"> </w:t>
      </w:r>
      <w:r w:rsidRPr="008B085D">
        <w:rPr>
          <w:i/>
          <w:iCs/>
        </w:rPr>
        <w:t>Telecommunications Relay Services and Speech-to-Speech Services for Individuals with Hearing and Speech Disabilities</w:t>
      </w:r>
      <w:r w:rsidRPr="008B085D">
        <w:t>, CG Docket No. 03-123, RM-11931, Notice of Proposed Rulemaking, 40 FCC Rcd 4722,</w:t>
      </w:r>
      <w:r>
        <w:t xml:space="preserve"> Appendix B</w:t>
      </w:r>
      <w:r w:rsidRPr="008B085D">
        <w:t xml:space="preserve"> (2025) (</w:t>
      </w:r>
      <w:r w:rsidRPr="008B085D">
        <w:rPr>
          <w:i/>
          <w:iCs/>
        </w:rPr>
        <w:t>2025</w:t>
      </w:r>
      <w:r>
        <w:rPr>
          <w:i/>
          <w:iCs/>
        </w:rPr>
        <w:t xml:space="preserve"> ASCII</w:t>
      </w:r>
      <w:r w:rsidRPr="008B085D">
        <w:rPr>
          <w:i/>
          <w:iCs/>
        </w:rPr>
        <w:t xml:space="preserve"> </w:t>
      </w:r>
      <w:r>
        <w:rPr>
          <w:i/>
          <w:iCs/>
        </w:rPr>
        <w:t>Notice</w:t>
      </w:r>
      <w:r w:rsidRPr="008B085D">
        <w:t>)</w:t>
      </w:r>
    </w:p>
  </w:footnote>
  <w:footnote w:id="51">
    <w:p w:rsidR="001747A8" w:rsidRPr="0068065B" w:rsidP="001747A8" w14:paraId="5BEB8BFC" w14:textId="62DCA928">
      <w:pPr>
        <w:pStyle w:val="FootnoteText"/>
        <w:tabs>
          <w:tab w:val="left" w:pos="3365"/>
        </w:tabs>
      </w:pPr>
      <w:r w:rsidRPr="0068065B">
        <w:rPr>
          <w:rStyle w:val="FootnoteReference"/>
        </w:rPr>
        <w:footnoteRef/>
      </w:r>
      <w:r w:rsidRPr="0068065B">
        <w:t xml:space="preserve"> </w:t>
      </w:r>
      <w:r w:rsidRPr="00761377">
        <w:rPr>
          <w:szCs w:val="22"/>
        </w:rPr>
        <w:t xml:space="preserve">5 U.S.C. </w:t>
      </w:r>
      <w:r w:rsidRPr="0068065B">
        <w:t>§ 604.</w:t>
      </w:r>
    </w:p>
  </w:footnote>
  <w:footnote w:id="52">
    <w:p w:rsidR="001747A8" w:rsidRPr="007926DD" w:rsidP="001747A8" w14:paraId="76663077" w14:textId="77777777">
      <w:pPr>
        <w:pStyle w:val="FootnoteText"/>
      </w:pPr>
      <w:r>
        <w:rPr>
          <w:rStyle w:val="FootnoteReference"/>
        </w:rPr>
        <w:footnoteRef/>
      </w:r>
      <w:r>
        <w:t xml:space="preserve"> 47 CFR § 64.604(b)(1).  ASCII format “employs an eight bit code and can operate at any standard transmission baud rate including 300, 1200, 2400, and higher.”  </w:t>
      </w:r>
      <w:r>
        <w:rPr>
          <w:i/>
          <w:iCs/>
        </w:rPr>
        <w:t xml:space="preserve">Id. </w:t>
      </w:r>
      <w:r>
        <w:t>§ 64.601(a)(7) (definition of ASCII).</w:t>
      </w:r>
    </w:p>
  </w:footnote>
  <w:footnote w:id="53">
    <w:p w:rsidR="001747A8" w:rsidP="001747A8" w14:paraId="495E30FA" w14:textId="77777777">
      <w:pPr>
        <w:pStyle w:val="FootnoteText"/>
      </w:pPr>
      <w:r>
        <w:rPr>
          <w:rStyle w:val="FootnoteReference"/>
        </w:rPr>
        <w:footnoteRef/>
      </w:r>
      <w:r>
        <w:t xml:space="preserve"> </w:t>
      </w:r>
      <w:r w:rsidRPr="007E119D">
        <w:rPr>
          <w:i/>
          <w:iCs/>
        </w:rPr>
        <w:t>Telecommunications Relay Services and Speech-to-Speech Services for Individuals with Hearing and Speech Disabilities</w:t>
      </w:r>
      <w:r w:rsidRPr="00047648">
        <w:t xml:space="preserve">, </w:t>
      </w:r>
      <w:r>
        <w:t xml:space="preserve">CC Docket No. 98-67, </w:t>
      </w:r>
      <w:r w:rsidRPr="004D2370">
        <w:t>Report and Order</w:t>
      </w:r>
      <w:r w:rsidRPr="00047648">
        <w:t>, 15 FCC Rcd 5140, 5142, para. 2 (2000)</w:t>
      </w:r>
      <w:r>
        <w:t>.</w:t>
      </w:r>
    </w:p>
  </w:footnote>
  <w:footnote w:id="54">
    <w:p w:rsidR="001747A8" w:rsidRPr="003A20A3" w:rsidP="001747A8" w14:paraId="3D89C874" w14:textId="77777777">
      <w:pPr>
        <w:pStyle w:val="FootnoteText"/>
      </w:pPr>
      <w:r>
        <w:rPr>
          <w:rStyle w:val="FootnoteReference"/>
        </w:rPr>
        <w:footnoteRef/>
      </w:r>
      <w:r>
        <w:t xml:space="preserve"> </w:t>
      </w:r>
      <w:r w:rsidRPr="00394E6C">
        <w:t>47 CFR</w:t>
      </w:r>
      <w:r w:rsidRPr="00394E6C">
        <w:rPr>
          <w:i/>
          <w:iCs/>
        </w:rPr>
        <w:t xml:space="preserve"> </w:t>
      </w:r>
      <w:r>
        <w:t xml:space="preserve">§ 64.604(b)(1) (requiring TTY providers to offer the service in both ASCII and Baudot formats).  Baudot format is defined as a “seven bit code, only five of which are information bits.  Baudot is used by some text telephones to communicate with each other at a 45.5 baud rate.”  </w:t>
      </w:r>
      <w:r>
        <w:rPr>
          <w:i/>
          <w:iCs/>
        </w:rPr>
        <w:t>Id.</w:t>
      </w:r>
      <w:r>
        <w:t xml:space="preserve"> § 64.601(a)(9).  Other forms of TRS are not required to offer ASCII or Baudot format.  </w:t>
      </w:r>
      <w:r>
        <w:rPr>
          <w:i/>
          <w:iCs/>
        </w:rPr>
        <w:t xml:space="preserve">Id. </w:t>
      </w:r>
      <w:r>
        <w:t>§ 64.604(b)(1).</w:t>
      </w:r>
    </w:p>
  </w:footnote>
  <w:footnote w:id="55">
    <w:p w:rsidR="001747A8" w:rsidRPr="003F23AA" w:rsidP="001747A8" w14:paraId="69DBD79D" w14:textId="77777777">
      <w:pPr>
        <w:pStyle w:val="FootnoteText"/>
      </w:pPr>
      <w:r w:rsidRPr="003F23AA">
        <w:rPr>
          <w:rStyle w:val="FootnoteReference"/>
        </w:rPr>
        <w:footnoteRef/>
      </w:r>
      <w:r w:rsidRPr="003F23AA">
        <w:t xml:space="preserve"> </w:t>
      </w:r>
      <w:r>
        <w:rPr>
          <w:i/>
          <w:iCs/>
        </w:rPr>
        <w:t xml:space="preserve">2025 ASCII </w:t>
      </w:r>
      <w:r w:rsidRPr="003F23AA">
        <w:rPr>
          <w:i/>
          <w:iCs/>
        </w:rPr>
        <w:t xml:space="preserve">Notice, </w:t>
      </w:r>
      <w:r w:rsidRPr="003F23AA">
        <w:t>para. 8.</w:t>
      </w:r>
    </w:p>
  </w:footnote>
  <w:footnote w:id="56">
    <w:p w:rsidR="001747A8" w:rsidRPr="003F23AA" w:rsidP="001747A8" w14:paraId="31EB9B32" w14:textId="77777777">
      <w:pPr>
        <w:pStyle w:val="FootnoteText"/>
      </w:pPr>
      <w:r w:rsidRPr="003F23AA">
        <w:rPr>
          <w:rStyle w:val="FootnoteReference"/>
        </w:rPr>
        <w:footnoteRef/>
      </w:r>
      <w:r w:rsidRPr="003F23AA">
        <w:t xml:space="preserve"> </w:t>
      </w:r>
      <w:r w:rsidRPr="003F23AA">
        <w:rPr>
          <w:i/>
          <w:iCs/>
        </w:rPr>
        <w:t>Id.</w:t>
      </w:r>
      <w:r w:rsidRPr="003F23AA">
        <w:t xml:space="preserve"> </w:t>
      </w:r>
    </w:p>
  </w:footnote>
  <w:footnote w:id="57">
    <w:p w:rsidR="001747A8" w:rsidRPr="00EE64D3" w:rsidP="001747A8" w14:paraId="36AD9BFD" w14:textId="77777777">
      <w:pPr>
        <w:pStyle w:val="FootnoteText"/>
      </w:pPr>
      <w:r w:rsidRPr="003F23AA">
        <w:rPr>
          <w:rStyle w:val="FootnoteReference"/>
        </w:rPr>
        <w:footnoteRef/>
      </w:r>
      <w:r w:rsidRPr="003F23AA">
        <w:t xml:space="preserve"> </w:t>
      </w:r>
      <w:r w:rsidRPr="003F23AA">
        <w:rPr>
          <w:i/>
          <w:iCs/>
        </w:rPr>
        <w:t>Id.</w:t>
      </w:r>
      <w:r w:rsidRPr="003F23AA">
        <w:t>, para. 9.</w:t>
      </w:r>
    </w:p>
  </w:footnote>
  <w:footnote w:id="58">
    <w:p w:rsidR="001747A8" w:rsidP="001747A8" w14:paraId="3D46160C" w14:textId="77777777">
      <w:pPr>
        <w:pStyle w:val="FootnoteText"/>
      </w:pPr>
      <w:r>
        <w:rPr>
          <w:rStyle w:val="FootnoteReference"/>
        </w:rPr>
        <w:footnoteRef/>
      </w:r>
      <w:r>
        <w:t xml:space="preserve"> </w:t>
      </w:r>
      <w:r w:rsidRPr="0075433C">
        <w:t>Small Business Jobs Act of 2010, Pub. L. No. 111-240, 124 Stat. 2504 (2010).</w:t>
      </w:r>
    </w:p>
  </w:footnote>
  <w:footnote w:id="59">
    <w:p w:rsidR="001747A8" w:rsidRPr="0068065B" w:rsidP="001747A8" w14:paraId="44C89BBB" w14:textId="00774F8F">
      <w:pPr>
        <w:pStyle w:val="FootnoteText"/>
      </w:pPr>
      <w:r w:rsidRPr="0068065B">
        <w:rPr>
          <w:rStyle w:val="FootnoteReference"/>
        </w:rPr>
        <w:footnoteRef/>
      </w:r>
      <w:r>
        <w:t xml:space="preserve"> </w:t>
      </w:r>
      <w:r w:rsidRPr="00761377">
        <w:rPr>
          <w:szCs w:val="22"/>
        </w:rPr>
        <w:t xml:space="preserve">5 U.S.C. </w:t>
      </w:r>
      <w:r w:rsidRPr="0068065B">
        <w:t xml:space="preserve">§ 604(a)(3). </w:t>
      </w:r>
    </w:p>
  </w:footnote>
  <w:footnote w:id="60">
    <w:p w:rsidR="001747A8" w:rsidRPr="0010278D" w:rsidP="001747A8" w14:paraId="5F0B38D0" w14:textId="7C33D505">
      <w:pPr>
        <w:pStyle w:val="FootnoteText"/>
      </w:pPr>
      <w:r w:rsidRPr="001C59C4">
        <w:rPr>
          <w:rStyle w:val="FootnoteReference"/>
        </w:rPr>
        <w:footnoteRef/>
      </w:r>
      <w:r w:rsidRPr="0010278D">
        <w:t xml:space="preserve"> </w:t>
      </w:r>
      <w:r w:rsidRPr="00415689" w:rsidR="001D60CB">
        <w:rPr>
          <w:i/>
          <w:iCs/>
        </w:rPr>
        <w:t>Id</w:t>
      </w:r>
      <w:r w:rsidR="001D60CB">
        <w:t>.</w:t>
      </w:r>
      <w:r w:rsidRPr="0010278D">
        <w:t xml:space="preserve"> §</w:t>
      </w:r>
      <w:r>
        <w:t> </w:t>
      </w:r>
      <w:r w:rsidRPr="0010278D">
        <w:t>60</w:t>
      </w:r>
      <w:r>
        <w:t>4</w:t>
      </w:r>
      <w:r w:rsidRPr="0010278D">
        <w:t xml:space="preserve">.  </w:t>
      </w:r>
    </w:p>
  </w:footnote>
  <w:footnote w:id="61">
    <w:p w:rsidR="001747A8" w:rsidRPr="0010278D" w:rsidP="001747A8" w14:paraId="4C8F6245" w14:textId="77777777">
      <w:pPr>
        <w:pStyle w:val="FootnoteText"/>
      </w:pPr>
      <w:r w:rsidRPr="001C59C4">
        <w:rPr>
          <w:rStyle w:val="FootnoteReference"/>
        </w:rPr>
        <w:footnoteRef/>
      </w:r>
      <w:r w:rsidRPr="0010278D">
        <w:t xml:space="preserve"> </w:t>
      </w:r>
      <w:r>
        <w:rPr>
          <w:i/>
        </w:rPr>
        <w:t>I</w:t>
      </w:r>
      <w:r w:rsidRPr="00F17E24">
        <w:rPr>
          <w:i/>
        </w:rPr>
        <w:t>d</w:t>
      </w:r>
      <w:r w:rsidRPr="00F17E24">
        <w:t>.</w:t>
      </w:r>
      <w:r>
        <w:t xml:space="preserve"> </w:t>
      </w:r>
      <w:r w:rsidRPr="0010278D">
        <w:t>§</w:t>
      </w:r>
      <w:r>
        <w:t> </w:t>
      </w:r>
      <w:r w:rsidRPr="0010278D">
        <w:t xml:space="preserve">601(6).  </w:t>
      </w:r>
    </w:p>
  </w:footnote>
  <w:footnote w:id="62">
    <w:p w:rsidR="001747A8" w:rsidRPr="00D96898" w:rsidP="001747A8" w14:paraId="33B9E1AF" w14:textId="77777777">
      <w:pPr>
        <w:pStyle w:val="FootnoteText"/>
      </w:pPr>
      <w:r w:rsidRPr="00D96898">
        <w:rPr>
          <w:rStyle w:val="FootnoteReference"/>
        </w:rPr>
        <w:footnoteRef/>
      </w:r>
      <w:r w:rsidRPr="00D96898">
        <w:t xml:space="preserve"> </w:t>
      </w:r>
      <w:r w:rsidRPr="00D96898">
        <w:rPr>
          <w:i/>
          <w:iCs/>
        </w:rPr>
        <w:t>Id</w:t>
      </w:r>
      <w:r w:rsidRPr="00D96898">
        <w:t>. § 601(3) (incorporating by reference the definition of “small-business concern” in the Small Business Act, 15 U.S.C. § 632).  Pursuant to 5 U.S.C. § 601(3), the statutory definition of a small business applies “unless an agency, after consultation with the Office of Advocacy of the Small Business Administration and after opportunity for public comment, establishes one or more definitions of such term which are appropriate to the activities of the agency and publishes such definition(s) in the Federal Register.”</w:t>
      </w:r>
    </w:p>
  </w:footnote>
  <w:footnote w:id="63">
    <w:p w:rsidR="001747A8" w:rsidRPr="00D96898" w:rsidP="001747A8" w14:paraId="7D13D0A2" w14:textId="77777777">
      <w:pPr>
        <w:pStyle w:val="FootnoteText"/>
      </w:pPr>
      <w:r w:rsidRPr="00D96898">
        <w:rPr>
          <w:rStyle w:val="FootnoteReference"/>
        </w:rPr>
        <w:footnoteRef/>
      </w:r>
      <w:r w:rsidRPr="00D96898">
        <w:t xml:space="preserve"> 15 U.S.C. § 632.</w:t>
      </w:r>
    </w:p>
  </w:footnote>
  <w:footnote w:id="64">
    <w:p w:rsidR="001747A8" w:rsidP="001747A8" w14:paraId="7C37E3CA" w14:textId="447B94E3">
      <w:pPr>
        <w:pStyle w:val="FootnoteText"/>
      </w:pPr>
      <w:r w:rsidRPr="001C59C4">
        <w:rPr>
          <w:rStyle w:val="FootnoteReference"/>
        </w:rPr>
        <w:footnoteRef/>
      </w:r>
      <w:r>
        <w:t xml:space="preserve"> </w:t>
      </w:r>
      <w:r w:rsidRPr="009A145B">
        <w:t>13 CFR</w:t>
      </w:r>
      <w:r>
        <w:t xml:space="preserve"> </w:t>
      </w:r>
      <w:r w:rsidR="00415689">
        <w:t xml:space="preserve">§ </w:t>
      </w:r>
      <w:r w:rsidRPr="009A145B">
        <w:t>121.903</w:t>
      </w:r>
      <w:r>
        <w:t>.</w:t>
      </w:r>
    </w:p>
  </w:footnote>
  <w:footnote w:id="65">
    <w:p w:rsidR="001747A8" w:rsidP="001747A8" w14:paraId="072AAFDA" w14:textId="77777777">
      <w:pPr>
        <w:pStyle w:val="FootnoteText"/>
      </w:pPr>
      <w:r w:rsidRPr="00363480">
        <w:rPr>
          <w:rStyle w:val="FootnoteReference"/>
          <w:rFonts w:eastAsia="Calibri"/>
        </w:rPr>
        <w:footnoteRef/>
      </w:r>
      <w:r>
        <w:t xml:space="preserve"> 5 U.S.C. </w:t>
      </w:r>
      <w:r w:rsidRPr="006B076E">
        <w:t>§</w:t>
      </w:r>
      <w:r>
        <w:t xml:space="preserve"> 601(3)-(6).</w:t>
      </w:r>
    </w:p>
  </w:footnote>
  <w:footnote w:id="66">
    <w:p w:rsidR="001747A8" w:rsidP="001747A8" w14:paraId="0BA8EE3A" w14:textId="77777777">
      <w:pPr>
        <w:pStyle w:val="FootnoteText"/>
      </w:pPr>
      <w:r w:rsidRPr="00363480">
        <w:rPr>
          <w:rStyle w:val="FootnoteReference"/>
          <w:rFonts w:eastAsia="Calibri"/>
        </w:rPr>
        <w:footnoteRef/>
      </w:r>
      <w:r>
        <w:t xml:space="preserve"> </w:t>
      </w:r>
      <w:r w:rsidRPr="00231BAF">
        <w:rPr>
          <w:i/>
          <w:iCs/>
        </w:rPr>
        <w:t>See</w:t>
      </w:r>
      <w:r w:rsidRPr="00231BAF">
        <w:t xml:space="preserve"> SBA, Office of Advocacy, </w:t>
      </w:r>
      <w:r w:rsidRPr="00231BAF">
        <w:rPr>
          <w:i/>
          <w:iCs/>
        </w:rPr>
        <w:t xml:space="preserve">Frequently Asked Questions About Small Business </w:t>
      </w:r>
      <w:r w:rsidRPr="00231BAF">
        <w:t xml:space="preserve"> (July</w:t>
      </w:r>
      <w:r>
        <w:t xml:space="preserve"> 23,</w:t>
      </w:r>
      <w:r w:rsidRPr="00231BAF">
        <w:t xml:space="preserve"> 2024), </w:t>
      </w:r>
      <w:hyperlink r:id="rId10" w:history="1">
        <w:r w:rsidRPr="00231BAF">
          <w:rPr>
            <w:rStyle w:val="Hyperlink"/>
          </w:rPr>
          <w:t>https://advocacy.sba.gov/wp-content/uploads/2024/12/Frequently-Asked-Questions-About-Small-Business_2024-508.pdf</w:t>
        </w:r>
      </w:hyperlink>
      <w:r w:rsidRPr="00231BAF">
        <w:t>.</w:t>
      </w:r>
    </w:p>
  </w:footnote>
  <w:footnote w:id="67">
    <w:p w:rsidR="001747A8" w:rsidP="001747A8" w14:paraId="6AC7EB1A" w14:textId="77777777">
      <w:pPr>
        <w:pStyle w:val="FootnoteText"/>
      </w:pPr>
      <w:r w:rsidRPr="001C59C4">
        <w:rPr>
          <w:rStyle w:val="FootnoteReference"/>
        </w:rPr>
        <w:footnoteRef/>
      </w:r>
      <w:r>
        <w:t xml:space="preserve"> </w:t>
      </w:r>
      <w:r w:rsidRPr="0011527D">
        <w:rPr>
          <w:i/>
          <w:iCs/>
        </w:rPr>
        <w:t>Id</w:t>
      </w:r>
      <w:r>
        <w:t>.</w:t>
      </w:r>
    </w:p>
  </w:footnote>
  <w:footnote w:id="68">
    <w:p w:rsidR="001747A8" w:rsidRPr="00A053B8" w:rsidP="001747A8" w14:paraId="129341F4" w14:textId="77777777">
      <w:pPr>
        <w:pStyle w:val="FootnoteText"/>
      </w:pPr>
      <w:r w:rsidRPr="00A053B8">
        <w:rPr>
          <w:rStyle w:val="FootnoteReference"/>
          <w:rFonts w:eastAsia="Calibri"/>
        </w:rPr>
        <w:footnoteRef/>
      </w:r>
      <w:r w:rsidRPr="00A053B8">
        <w:t xml:space="preserve"> </w:t>
      </w:r>
      <w:r w:rsidRPr="00A053B8">
        <w:rPr>
          <w:spacing w:val="-2"/>
        </w:rPr>
        <w:t>5 U.S.C.</w:t>
      </w:r>
      <w:r w:rsidRPr="00A053B8">
        <w:t xml:space="preserve"> § 601(4).</w:t>
      </w:r>
    </w:p>
  </w:footnote>
  <w:footnote w:id="69">
    <w:p w:rsidR="001747A8" w:rsidP="001747A8" w14:paraId="3655EAB5" w14:textId="77777777">
      <w:pPr>
        <w:pStyle w:val="FootnoteText"/>
      </w:pPr>
      <w:r w:rsidRPr="001C59C4">
        <w:rPr>
          <w:rStyle w:val="FootnoteReference"/>
        </w:rPr>
        <w:footnoteRef/>
      </w:r>
      <w:r w:rsidRPr="00B31687">
        <w:t xml:space="preserve"> </w:t>
      </w:r>
      <w:r w:rsidRPr="00B31687">
        <w:rPr>
          <w:i/>
          <w:iCs/>
        </w:rPr>
        <w:t xml:space="preserve">See </w:t>
      </w:r>
      <w:r w:rsidRPr="00B31687">
        <w:t xml:space="preserve">SBA, Office of Advocacy, </w:t>
      </w:r>
      <w:r w:rsidRPr="00B31687">
        <w:rPr>
          <w:i/>
          <w:iCs/>
        </w:rPr>
        <w:t>Small Business Facts, Spotlight on Nonprofits</w:t>
      </w:r>
      <w:r w:rsidRPr="00B31687">
        <w:t xml:space="preserve"> (July 2019), </w:t>
      </w:r>
      <w:hyperlink r:id="rId11" w:history="1">
        <w:r w:rsidRPr="00B31687">
          <w:rPr>
            <w:rStyle w:val="Hyperlink"/>
          </w:rPr>
          <w:t>https://advocacy.sba.gov/2019/07/25/small-business-facts-spotlight-on-nonprofits/</w:t>
        </w:r>
      </w:hyperlink>
      <w:r w:rsidRPr="00B31687">
        <w:t>.</w:t>
      </w:r>
      <w:r>
        <w:t xml:space="preserve">  </w:t>
      </w:r>
    </w:p>
  </w:footnote>
  <w:footnote w:id="70">
    <w:p w:rsidR="001747A8" w:rsidRPr="00A053B8" w:rsidP="001747A8" w14:paraId="1919FD05" w14:textId="77777777">
      <w:pPr>
        <w:pStyle w:val="FootnoteText"/>
      </w:pPr>
      <w:r w:rsidRPr="00A053B8">
        <w:rPr>
          <w:rStyle w:val="FootnoteReference"/>
          <w:rFonts w:eastAsia="Calibri"/>
          <w:spacing w:val="-2"/>
        </w:rPr>
        <w:footnoteRef/>
      </w:r>
      <w:r w:rsidRPr="00A053B8">
        <w:t xml:space="preserve"> 5 U.S.C. § 601(5).</w:t>
      </w:r>
    </w:p>
  </w:footnote>
  <w:footnote w:id="71">
    <w:p w:rsidR="001747A8" w:rsidP="001747A8" w14:paraId="150C6570" w14:textId="77777777">
      <w:pPr>
        <w:pStyle w:val="FootnoteText"/>
      </w:pPr>
      <w:r w:rsidRPr="001C59C4">
        <w:rPr>
          <w:rStyle w:val="FootnoteReference"/>
        </w:rPr>
        <w:footnoteRef/>
      </w:r>
      <w:r>
        <w:t xml:space="preserve"> </w:t>
      </w:r>
      <w:r w:rsidRPr="00A053B8">
        <w:rPr>
          <w:i/>
        </w:rPr>
        <w:t>See</w:t>
      </w:r>
      <w:r w:rsidRPr="00A053B8">
        <w:t xml:space="preserve"> U.S. Census Bureau, 2022 Census of Governments –</w:t>
      </w:r>
      <w:r>
        <w:t xml:space="preserve">Organization, </w:t>
      </w:r>
      <w:hyperlink r:id="rId12" w:history="1">
        <w:r w:rsidRPr="00A053B8">
          <w:rPr>
            <w:rStyle w:val="Hyperlink"/>
          </w:rPr>
          <w:t>https://www.census.gov/data/tables/2022/econ/gus/2022-governments.html</w:t>
        </w:r>
      </w:hyperlink>
      <w:r>
        <w:t>, tables 1-11</w:t>
      </w:r>
      <w:r w:rsidRPr="00A053B8">
        <w:t xml:space="preserve">.  </w:t>
      </w:r>
    </w:p>
  </w:footnote>
  <w:footnote w:id="72">
    <w:p w:rsidR="001747A8" w:rsidRPr="001362BE" w:rsidP="001747A8" w14:paraId="179C2B25" w14:textId="77777777">
      <w:pPr>
        <w:pStyle w:val="FootnoteText"/>
      </w:pPr>
      <w:r w:rsidRPr="001C59C4">
        <w:rPr>
          <w:rStyle w:val="FootnoteReference"/>
        </w:rPr>
        <w:footnoteRef/>
      </w:r>
      <w:r>
        <w:t xml:space="preserve"> </w:t>
      </w:r>
      <w:r w:rsidRPr="001362BE">
        <w:t>The North American Industry Classification System (NAICS) is the standard used by Federal statistical agencies in classifying business establishments for the purpose of collecting, analyzing, and publishing statistical data related to the U.S. business economy.</w:t>
      </w:r>
      <w:r>
        <w:t xml:space="preserve">  </w:t>
      </w:r>
      <w:r>
        <w:rPr>
          <w:i/>
          <w:iCs/>
        </w:rPr>
        <w:t xml:space="preserve">See </w:t>
      </w:r>
      <w:hyperlink r:id="rId13" w:history="1">
        <w:r w:rsidRPr="00686F6D">
          <w:rPr>
            <w:rStyle w:val="Hyperlink"/>
          </w:rPr>
          <w:t>www.census.gov/NAICS</w:t>
        </w:r>
      </w:hyperlink>
      <w:r>
        <w:t xml:space="preserve"> for further details regarding the NAICS codes identified in this chart.</w:t>
      </w:r>
    </w:p>
  </w:footnote>
  <w:footnote w:id="73">
    <w:p w:rsidR="001747A8" w:rsidP="001747A8" w14:paraId="5D2FD96C" w14:textId="2F2CD11F">
      <w:pPr>
        <w:pStyle w:val="FootnoteText"/>
      </w:pPr>
      <w:r w:rsidRPr="001C59C4">
        <w:rPr>
          <w:rStyle w:val="FootnoteReference"/>
        </w:rPr>
        <w:footnoteRef/>
      </w:r>
      <w:r>
        <w:t xml:space="preserve"> The size standards in this chart are set forth in </w:t>
      </w:r>
      <w:r w:rsidRPr="001E35D8">
        <w:t>13 CFR</w:t>
      </w:r>
      <w:r w:rsidR="00D108E4">
        <w:t xml:space="preserve"> §</w:t>
      </w:r>
      <w:r w:rsidRPr="001E35D8">
        <w:t xml:space="preserve"> 121</w:t>
      </w:r>
      <w:r>
        <w:t>.201, by six digit NAICS code.</w:t>
      </w:r>
    </w:p>
  </w:footnote>
  <w:footnote w:id="74">
    <w:p w:rsidR="001747A8" w:rsidRPr="00682388" w:rsidP="001747A8" w14:paraId="0FB4D9CE" w14:textId="77777777">
      <w:pPr>
        <w:pStyle w:val="FootnoteText"/>
        <w:spacing w:before="120"/>
      </w:pPr>
      <w:r w:rsidRPr="003B2D6D">
        <w:rPr>
          <w:rStyle w:val="FootnoteReference"/>
        </w:rPr>
        <w:footnoteRef/>
      </w:r>
      <w:r w:rsidRPr="00682388">
        <w:t xml:space="preserve"> </w:t>
      </w:r>
      <w:r w:rsidRPr="00682388">
        <w:rPr>
          <w:i/>
          <w:iCs/>
        </w:rPr>
        <w:t>U.S. Census Bureau</w:t>
      </w:r>
      <w:r w:rsidRPr="00682388">
        <w:t>, "</w:t>
      </w:r>
      <w:r w:rsidRPr="00682388">
        <w:rPr>
          <w:i/>
          <w:iCs/>
        </w:rPr>
        <w:t>Selected Sectors: Employment Size of Firms for the U.S.: 2022</w:t>
      </w:r>
      <w:r w:rsidRPr="00682388">
        <w:t xml:space="preserve">." Economic Census, ECN Core Statistics Economic Census: Establishment and Firm Size Statistics for the U.S., </w:t>
      </w:r>
      <w:r>
        <w:t xml:space="preserve">Table </w:t>
      </w:r>
      <w:r w:rsidRPr="00682388">
        <w:t>EC2200SIZEEMPFIRM, 2025</w:t>
      </w:r>
      <w:r>
        <w:t>.</w:t>
      </w:r>
      <w:r w:rsidRPr="00682388">
        <w:t xml:space="preserve"> </w:t>
      </w:r>
    </w:p>
  </w:footnote>
  <w:footnote w:id="75">
    <w:p w:rsidR="001747A8" w:rsidRPr="00682388" w:rsidP="001747A8" w14:paraId="281477F3" w14:textId="77777777">
      <w:pPr>
        <w:pStyle w:val="FootnoteText"/>
        <w:spacing w:before="120"/>
      </w:pPr>
      <w:r w:rsidRPr="003B2D6D">
        <w:rPr>
          <w:rStyle w:val="FootnoteReference"/>
        </w:rPr>
        <w:footnoteRef/>
      </w:r>
      <w:r w:rsidRPr="00682388">
        <w:t xml:space="preserve"> </w:t>
      </w:r>
      <w:r w:rsidRPr="00682388">
        <w:rPr>
          <w:i/>
          <w:iCs/>
        </w:rPr>
        <w:t xml:space="preserve">Id. </w:t>
      </w:r>
    </w:p>
  </w:footnote>
  <w:footnote w:id="76">
    <w:p w:rsidR="001747A8" w:rsidP="001747A8" w14:paraId="344A5D06" w14:textId="77777777">
      <w:pPr>
        <w:pStyle w:val="FootnoteText"/>
        <w:spacing w:before="120"/>
      </w:pPr>
      <w:r>
        <w:rPr>
          <w:rStyle w:val="FootnoteReference"/>
        </w:rPr>
        <w:footnoteRef/>
      </w:r>
      <w:r>
        <w:t xml:space="preserve"> </w:t>
      </w:r>
      <w:r w:rsidRPr="006D30BF">
        <w:t>Affected Entities in this industry include</w:t>
      </w:r>
      <w:r>
        <w:t xml:space="preserve"> </w:t>
      </w:r>
      <w:r w:rsidRPr="006D30BF">
        <w:t>Telecommunications Relay Service (TRS) Providers</w:t>
      </w:r>
      <w:r>
        <w:t>.</w:t>
      </w:r>
    </w:p>
  </w:footnote>
  <w:footnote w:id="77">
    <w:p w:rsidR="001747A8" w:rsidP="001747A8" w14:paraId="23DF8E6A" w14:textId="77777777">
      <w:pPr>
        <w:pStyle w:val="FootnoteText"/>
      </w:pPr>
      <w:r>
        <w:rPr>
          <w:rStyle w:val="FootnoteReference"/>
        </w:rPr>
        <w:footnoteRef/>
      </w:r>
      <w:r>
        <w:t xml:space="preserve"> </w:t>
      </w:r>
      <w:r w:rsidRPr="00761377">
        <w:rPr>
          <w:szCs w:val="22"/>
        </w:rPr>
        <w:t xml:space="preserve">5 U.S.C. </w:t>
      </w:r>
      <w:r w:rsidRPr="00F17E24">
        <w:t>§ 60</w:t>
      </w:r>
      <w:r>
        <w:t>4</w:t>
      </w:r>
      <w:r w:rsidRPr="00F17E24">
        <w:t>(</w:t>
      </w:r>
      <w:r>
        <w:t>a</w:t>
      </w:r>
      <w:r w:rsidRPr="00F17E24">
        <w:t>)(</w:t>
      </w:r>
      <w:r>
        <w:t>5</w:t>
      </w:r>
      <w:r w:rsidRPr="00F17E24">
        <w:t>)</w:t>
      </w:r>
      <w:r>
        <w:t xml:space="preserve">. </w:t>
      </w:r>
    </w:p>
  </w:footnote>
  <w:footnote w:id="78">
    <w:p w:rsidR="001747A8" w:rsidRPr="003A64E3" w:rsidP="001747A8" w14:paraId="52674D2D" w14:textId="77777777">
      <w:pPr>
        <w:pStyle w:val="FootnoteText"/>
      </w:pPr>
      <w:r>
        <w:rPr>
          <w:rStyle w:val="FootnoteReference"/>
        </w:rPr>
        <w:footnoteRef/>
      </w:r>
      <w:r>
        <w:t xml:space="preserve"> </w:t>
      </w:r>
      <w:r w:rsidRPr="00F65B02">
        <w:rPr>
          <w:i/>
          <w:iCs/>
        </w:rPr>
        <w:t xml:space="preserve">See </w:t>
      </w:r>
      <w:r>
        <w:rPr>
          <w:i/>
          <w:iCs/>
        </w:rPr>
        <w:t>2025 ASCII Notice</w:t>
      </w:r>
      <w:r w:rsidRPr="00C62E33">
        <w:t xml:space="preserve">, para. </w:t>
      </w:r>
      <w:r w:rsidRPr="001C72D6">
        <w:t>16</w:t>
      </w:r>
      <w:r w:rsidRPr="00C62E33">
        <w:t>.</w:t>
      </w:r>
    </w:p>
  </w:footnote>
  <w:footnote w:id="79">
    <w:p w:rsidR="001747A8" w:rsidRPr="001937AF" w:rsidP="001747A8" w14:paraId="60089AED" w14:textId="77777777">
      <w:pPr>
        <w:spacing w:after="120"/>
        <w:rPr>
          <w:sz w:val="20"/>
        </w:rPr>
      </w:pPr>
      <w:r w:rsidRPr="00F8156B">
        <w:rPr>
          <w:rStyle w:val="FootnoteReference"/>
        </w:rPr>
        <w:footnoteRef/>
      </w:r>
      <w:r w:rsidRPr="00F8156B">
        <w:rPr>
          <w:b/>
          <w:bCs/>
          <w:i/>
          <w:iCs/>
          <w:sz w:val="20"/>
        </w:rPr>
        <w:t xml:space="preserve"> </w:t>
      </w:r>
      <w:r w:rsidRPr="001937AF">
        <w:rPr>
          <w:sz w:val="20"/>
        </w:rPr>
        <w:t xml:space="preserve">5 U.S.C. </w:t>
      </w:r>
      <w:r w:rsidRPr="00F8156B">
        <w:rPr>
          <w:sz w:val="20"/>
        </w:rPr>
        <w:t>§ 604(a)(6).</w:t>
      </w:r>
    </w:p>
  </w:footnote>
  <w:footnote w:id="80">
    <w:p w:rsidR="001747A8" w:rsidRPr="0068065B" w:rsidP="001747A8" w14:paraId="452C5F4C" w14:textId="77777777">
      <w:pPr>
        <w:pStyle w:val="FootnoteText"/>
      </w:pPr>
      <w:r w:rsidRPr="0068065B">
        <w:rPr>
          <w:rStyle w:val="FootnoteReference"/>
        </w:rPr>
        <w:footnoteRef/>
      </w:r>
      <w:r w:rsidRPr="0068065B">
        <w:t xml:space="preserve"> </w:t>
      </w:r>
      <w:r w:rsidRPr="00761377">
        <w:rPr>
          <w:szCs w:val="22"/>
        </w:rPr>
        <w:t xml:space="preserve">5 U.S.C. </w:t>
      </w:r>
      <w:r w:rsidRPr="0068065B">
        <w:t>§ 801(a)(1)(A).</w:t>
      </w:r>
    </w:p>
  </w:footnote>
  <w:footnote w:id="81">
    <w:p w:rsidR="001747A8" w:rsidP="001747A8" w14:paraId="5250C159" w14:textId="77777777">
      <w:pPr>
        <w:pStyle w:val="FootnoteText"/>
      </w:pPr>
      <w:r w:rsidRPr="0068065B">
        <w:rPr>
          <w:rStyle w:val="FootnoteReference"/>
        </w:rPr>
        <w:footnoteRef/>
      </w:r>
      <w:r w:rsidRPr="0068065B">
        <w:t xml:space="preserve"> </w:t>
      </w:r>
      <w:r>
        <w:rPr>
          <w:i/>
          <w:iCs/>
        </w:rPr>
        <w:t xml:space="preserve">Id. </w:t>
      </w:r>
      <w:r w:rsidRPr="0068065B">
        <w:t>§ 604(b).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747A8" w:rsidP="00810B6F" w14:paraId="7F164BE5" w14:textId="00AD59F7">
    <w:pPr>
      <w:pStyle w:val="Header"/>
      <w:rPr>
        <w:b w:val="0"/>
      </w:rPr>
    </w:pPr>
    <w:r>
      <w:tab/>
      <w:t>Federal Communications Commission</w:t>
    </w:r>
    <w:r>
      <w:tab/>
      <w:t>FCC 26-</w:t>
    </w:r>
    <w:r w:rsidR="00EC4D02">
      <w:t>56</w:t>
    </w:r>
  </w:p>
  <w:p w:rsidR="001747A8" w14:paraId="156A84DC" w14:textId="05C2D5B0">
    <w:pPr>
      <w:tabs>
        <w:tab w:val="left" w:pos="-720"/>
      </w:tabs>
      <w:suppressAutoHyphens/>
      <w:spacing w:line="19" w:lineRule="exact"/>
      <w:rPr>
        <w:spacing w:val="-2"/>
      </w:rPr>
    </w:pPr>
    <w:r>
      <w:rPr>
        <w:noProof/>
      </w:rPr>
      <w:pict>
        <v:rect id="_x0000_s2049" style="width:468pt;height:0.95pt;margin-top:0;margin-left:0;mso-position-horizontal-relative:margin;position:absolute;visibility:visible;z-index:-251656192" o:allowincell="f" fillcolor="black" stroked="f" strokeweight="0.05pt">
          <v:path arrowok="t"/>
          <w10:wrap anchorx="margin"/>
        </v:rect>
      </w:pict>
    </w:r>
  </w:p>
  <w:p w:rsidR="001747A8" w14:paraId="3277985B" w14:textId="77777777">
    <w:pPr>
      <w:spacing w:after="389" w:line="100" w:lineRule="exact"/>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747A8" w:rsidP="00810B6F" w14:paraId="4A58A4CB" w14:textId="4626ACF0">
    <w:pPr>
      <w:pStyle w:val="Header"/>
      <w:rPr>
        <w:b w:val="0"/>
      </w:rPr>
    </w:pPr>
    <w:r>
      <w:rPr>
        <w:noProof/>
      </w:rPr>
      <w:pict>
        <v:rect id="_x0000_s2050" style="width:468pt;height:0.95pt;margin-top:12.65pt;margin-left:0.6pt;mso-position-horizontal-relative:margin;position:absolute;visibility:visible;z-index:-251655168" o:allowincell="f" fillcolor="black" stroked="f">
          <w10:wrap anchorx="margin"/>
        </v:rect>
      </w:pict>
    </w:r>
    <w:r>
      <w:tab/>
      <w:t>Federal Communications Commission</w:t>
    </w:r>
    <w:r>
      <w:tab/>
    </w:r>
    <w:r>
      <w:rPr>
        <w:spacing w:val="-2"/>
      </w:rPr>
      <w:t>FCC 26-</w:t>
    </w:r>
    <w:r w:rsidR="00EC4D02">
      <w:rPr>
        <w:spacing w:val="-2"/>
      </w:rPr>
      <w:t>56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810B6F" w14:paraId="7DA40F08" w14:textId="09A04819">
    <w:pPr>
      <w:pStyle w:val="Header"/>
      <w:rPr>
        <w:b w:val="0"/>
      </w:rPr>
    </w:pPr>
    <w:r>
      <w:tab/>
      <w:t>Federal Communications Commission</w:t>
    </w:r>
    <w:r>
      <w:tab/>
    </w:r>
    <w:r w:rsidR="00385875">
      <w:t>FCC 26-56</w:t>
    </w:r>
  </w:p>
  <w:p w:rsidR="00D25FB5" w14:paraId="19E1AFED" w14:textId="77777777">
    <w:pPr>
      <w:tabs>
        <w:tab w:val="left" w:pos="-720"/>
      </w:tabs>
      <w:suppressAutoHyphens/>
      <w:spacing w:line="19" w:lineRule="exact"/>
      <w:rPr>
        <w:spacing w:val="-2"/>
      </w:rPr>
    </w:pPr>
    <w:r>
      <w:rPr>
        <w:noProof/>
      </w:rPr>
      <w:pict>
        <v:rect id="Rectangle 1" o:spid="_x0000_s2051" style="width:468pt;height:0.95pt;margin-top:0;margin-left:0;mso-position-horizontal-relative:margin;position:absolute;visibility:visible;z-index:-251658240" o:allowincell="f" fillcolor="black" stroked="f" strokeweight="0.05pt">
          <w10:wrap anchorx="margin"/>
        </v:rect>
      </w:pict>
    </w:r>
  </w:p>
  <w:p w:rsidR="00D25FB5" w14:paraId="0226E10E" w14:textId="77777777">
    <w:pPr>
      <w:spacing w:after="389" w:line="100" w:lineRule="exact"/>
      <w:rPr>
        <w:sz w:val="1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810B6F" w14:paraId="1CF6BA94" w14:textId="35434CCD">
    <w:pPr>
      <w:pStyle w:val="Header"/>
      <w:rPr>
        <w:b w:val="0"/>
      </w:rPr>
    </w:pPr>
    <w:r>
      <w:rPr>
        <w:noProof/>
      </w:rPr>
      <w:pict>
        <v:rect id="Rectangle 3" o:spid="_x0000_s2052" style="width:468pt;height:0.95pt;margin-top:12.65pt;margin-left:0.6pt;mso-position-horizontal-relative:margin;position:absolute;visibility:visible;z-index:-251657216" o:allowincell="f" fillcolor="black" stroked="f" strokeweight="0.05pt">
          <w10:wrap anchorx="margin"/>
        </v:rect>
      </w:pict>
    </w:r>
    <w:r>
      <w:tab/>
      <w:t>Federal Communications Commission</w:t>
    </w:r>
    <w:r>
      <w:tab/>
    </w:r>
    <w:r w:rsidR="00ED24A8">
      <w:rPr>
        <w:spacing w:val="-2"/>
      </w:rPr>
      <w:t>FCC 26-</w:t>
    </w:r>
    <w:r w:rsidRPr="00ED24A8" w:rsidR="00ED24A8">
      <w:rPr>
        <w:spacing w:val="-2"/>
        <w:highlight w:val="yellow"/>
      </w:rPr>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2">
    <w:nsid w:val="248246F3"/>
    <w:multiLevelType w:val="singleLevel"/>
    <w:tmpl w:val="B1F45678"/>
    <w:lvl w:ilvl="0">
      <w:start w:val="1"/>
      <w:numFmt w:val="decimal"/>
      <w:lvlText w:val="%1."/>
      <w:lvlJc w:val="left"/>
      <w:pPr>
        <w:tabs>
          <w:tab w:val="num" w:pos="1080"/>
        </w:tabs>
        <w:ind w:left="0" w:firstLine="720"/>
      </w:pPr>
    </w:lvl>
  </w:abstractNum>
  <w:abstractNum w:abstractNumId="3">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nsid w:val="502E48CF"/>
    <w:multiLevelType w:val="hybridMultilevel"/>
    <w:tmpl w:val="4BC67DE8"/>
    <w:lvl w:ilvl="0">
      <w:start w:val="1"/>
      <w:numFmt w:val="decimal"/>
      <w:lvlText w:val="%1."/>
      <w:lvlJc w:val="left"/>
      <w:pPr>
        <w:ind w:left="720" w:hanging="360"/>
      </w:pPr>
      <w:rPr>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1182925"/>
    <w:multiLevelType w:val="singleLevel"/>
    <w:tmpl w:val="A9EE9842"/>
    <w:lvl w:ilvl="0">
      <w:start w:val="1"/>
      <w:numFmt w:val="decimal"/>
      <w:pStyle w:val="ParaNum"/>
      <w:lvlText w:val="%1."/>
      <w:lvlJc w:val="left"/>
      <w:pPr>
        <w:tabs>
          <w:tab w:val="num" w:pos="1080"/>
        </w:tabs>
        <w:ind w:left="0" w:firstLine="720"/>
      </w:pPr>
    </w:lvl>
  </w:abstractNum>
  <w:num w:numId="1" w16cid:durableId="1585459217">
    <w:abstractNumId w:val="1"/>
  </w:num>
  <w:num w:numId="2" w16cid:durableId="1228344337">
    <w:abstractNumId w:val="6"/>
  </w:num>
  <w:num w:numId="3" w16cid:durableId="362756171">
    <w:abstractNumId w:val="3"/>
  </w:num>
  <w:num w:numId="4" w16cid:durableId="1665863848">
    <w:abstractNumId w:val="4"/>
  </w:num>
  <w:num w:numId="5" w16cid:durableId="921060274">
    <w:abstractNumId w:val="2"/>
  </w:num>
  <w:num w:numId="6" w16cid:durableId="1240482198">
    <w:abstractNumId w:val="0"/>
  </w:num>
  <w:num w:numId="7" w16cid:durableId="1694501055">
    <w:abstractNumId w:val="5"/>
  </w:num>
  <w:num w:numId="8" w16cid:durableId="1302342611">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attachedTemplate r:id="rId1"/>
  <w:linkStyle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7A8"/>
    <w:rsid w:val="000025B2"/>
    <w:rsid w:val="00004B1F"/>
    <w:rsid w:val="0003469B"/>
    <w:rsid w:val="00036039"/>
    <w:rsid w:val="000371D5"/>
    <w:rsid w:val="00037F90"/>
    <w:rsid w:val="00047648"/>
    <w:rsid w:val="0005387C"/>
    <w:rsid w:val="00062376"/>
    <w:rsid w:val="000875BF"/>
    <w:rsid w:val="00090F48"/>
    <w:rsid w:val="00094153"/>
    <w:rsid w:val="00096D8C"/>
    <w:rsid w:val="000C0B65"/>
    <w:rsid w:val="000D20E9"/>
    <w:rsid w:val="000E05FE"/>
    <w:rsid w:val="000E0FFE"/>
    <w:rsid w:val="000E37A4"/>
    <w:rsid w:val="000E3D42"/>
    <w:rsid w:val="000E659D"/>
    <w:rsid w:val="000F0349"/>
    <w:rsid w:val="000F0FCB"/>
    <w:rsid w:val="0010278D"/>
    <w:rsid w:val="00106E9F"/>
    <w:rsid w:val="0011527D"/>
    <w:rsid w:val="00122BD5"/>
    <w:rsid w:val="00133F79"/>
    <w:rsid w:val="001362BE"/>
    <w:rsid w:val="00137059"/>
    <w:rsid w:val="001407A6"/>
    <w:rsid w:val="00157898"/>
    <w:rsid w:val="001747A8"/>
    <w:rsid w:val="00182D30"/>
    <w:rsid w:val="001937AF"/>
    <w:rsid w:val="00194A66"/>
    <w:rsid w:val="001A6D57"/>
    <w:rsid w:val="001C688F"/>
    <w:rsid w:val="001C72D6"/>
    <w:rsid w:val="001D60CB"/>
    <w:rsid w:val="001D6BCF"/>
    <w:rsid w:val="001E01CA"/>
    <w:rsid w:val="001E303C"/>
    <w:rsid w:val="001E35D8"/>
    <w:rsid w:val="001E43E1"/>
    <w:rsid w:val="001E7892"/>
    <w:rsid w:val="002135F4"/>
    <w:rsid w:val="002276D0"/>
    <w:rsid w:val="00231BAF"/>
    <w:rsid w:val="00250FDE"/>
    <w:rsid w:val="00275CF5"/>
    <w:rsid w:val="0028301F"/>
    <w:rsid w:val="00285017"/>
    <w:rsid w:val="00291ED5"/>
    <w:rsid w:val="0029343B"/>
    <w:rsid w:val="002A2D2E"/>
    <w:rsid w:val="002A3EF7"/>
    <w:rsid w:val="002C00E8"/>
    <w:rsid w:val="002D607C"/>
    <w:rsid w:val="002E61EB"/>
    <w:rsid w:val="00301E12"/>
    <w:rsid w:val="00302DE1"/>
    <w:rsid w:val="00330036"/>
    <w:rsid w:val="00330359"/>
    <w:rsid w:val="00334231"/>
    <w:rsid w:val="0034053D"/>
    <w:rsid w:val="003427F4"/>
    <w:rsid w:val="00343749"/>
    <w:rsid w:val="003660ED"/>
    <w:rsid w:val="00373954"/>
    <w:rsid w:val="00385875"/>
    <w:rsid w:val="0038789F"/>
    <w:rsid w:val="0039335E"/>
    <w:rsid w:val="00394E6C"/>
    <w:rsid w:val="003958AB"/>
    <w:rsid w:val="00397B2F"/>
    <w:rsid w:val="003A20A3"/>
    <w:rsid w:val="003A5598"/>
    <w:rsid w:val="003A64E3"/>
    <w:rsid w:val="003B0550"/>
    <w:rsid w:val="003B2D6D"/>
    <w:rsid w:val="003B694F"/>
    <w:rsid w:val="003C3491"/>
    <w:rsid w:val="003D1F3B"/>
    <w:rsid w:val="003E1097"/>
    <w:rsid w:val="003E7503"/>
    <w:rsid w:val="003F171C"/>
    <w:rsid w:val="003F23AA"/>
    <w:rsid w:val="003F3EC5"/>
    <w:rsid w:val="003F56D6"/>
    <w:rsid w:val="00404C8F"/>
    <w:rsid w:val="00412FC5"/>
    <w:rsid w:val="00415689"/>
    <w:rsid w:val="00417FBF"/>
    <w:rsid w:val="00421BED"/>
    <w:rsid w:val="00422276"/>
    <w:rsid w:val="004242F1"/>
    <w:rsid w:val="0044115F"/>
    <w:rsid w:val="00445A00"/>
    <w:rsid w:val="00451B0F"/>
    <w:rsid w:val="00452AAF"/>
    <w:rsid w:val="004915B4"/>
    <w:rsid w:val="00495064"/>
    <w:rsid w:val="00495AE4"/>
    <w:rsid w:val="004C26B8"/>
    <w:rsid w:val="004C2EE3"/>
    <w:rsid w:val="004C6099"/>
    <w:rsid w:val="004D2370"/>
    <w:rsid w:val="004D4EBA"/>
    <w:rsid w:val="004E1435"/>
    <w:rsid w:val="004E193C"/>
    <w:rsid w:val="004E4A22"/>
    <w:rsid w:val="00507DD6"/>
    <w:rsid w:val="00510558"/>
    <w:rsid w:val="00511968"/>
    <w:rsid w:val="00514A86"/>
    <w:rsid w:val="00523EFD"/>
    <w:rsid w:val="00534F60"/>
    <w:rsid w:val="0055614C"/>
    <w:rsid w:val="00566D06"/>
    <w:rsid w:val="005825DB"/>
    <w:rsid w:val="00584DF7"/>
    <w:rsid w:val="005A6DB7"/>
    <w:rsid w:val="005D6C52"/>
    <w:rsid w:val="005E097D"/>
    <w:rsid w:val="005E14C2"/>
    <w:rsid w:val="005E5757"/>
    <w:rsid w:val="00605035"/>
    <w:rsid w:val="00607BA5"/>
    <w:rsid w:val="0061180A"/>
    <w:rsid w:val="006200B7"/>
    <w:rsid w:val="00620EDB"/>
    <w:rsid w:val="00626EB6"/>
    <w:rsid w:val="006329B7"/>
    <w:rsid w:val="00642B68"/>
    <w:rsid w:val="0064684D"/>
    <w:rsid w:val="006556E7"/>
    <w:rsid w:val="00655D03"/>
    <w:rsid w:val="00674C68"/>
    <w:rsid w:val="00674F18"/>
    <w:rsid w:val="00675B78"/>
    <w:rsid w:val="0068065B"/>
    <w:rsid w:val="00681C5F"/>
    <w:rsid w:val="00682388"/>
    <w:rsid w:val="00683388"/>
    <w:rsid w:val="00683F84"/>
    <w:rsid w:val="00686C21"/>
    <w:rsid w:val="00686F6D"/>
    <w:rsid w:val="00692578"/>
    <w:rsid w:val="006A0C47"/>
    <w:rsid w:val="006A26A1"/>
    <w:rsid w:val="006A5D71"/>
    <w:rsid w:val="006A6A81"/>
    <w:rsid w:val="006B076E"/>
    <w:rsid w:val="006B4A43"/>
    <w:rsid w:val="006C2915"/>
    <w:rsid w:val="006C4CF5"/>
    <w:rsid w:val="006D1CCE"/>
    <w:rsid w:val="006D30BF"/>
    <w:rsid w:val="006E2E66"/>
    <w:rsid w:val="006F7393"/>
    <w:rsid w:val="0070224F"/>
    <w:rsid w:val="00703DE8"/>
    <w:rsid w:val="007048BC"/>
    <w:rsid w:val="0070588C"/>
    <w:rsid w:val="007115F7"/>
    <w:rsid w:val="0073532E"/>
    <w:rsid w:val="00745043"/>
    <w:rsid w:val="0074677D"/>
    <w:rsid w:val="0075433C"/>
    <w:rsid w:val="00761377"/>
    <w:rsid w:val="00781C2E"/>
    <w:rsid w:val="0078482D"/>
    <w:rsid w:val="00785689"/>
    <w:rsid w:val="00786AFB"/>
    <w:rsid w:val="007915B5"/>
    <w:rsid w:val="007926DD"/>
    <w:rsid w:val="0079359D"/>
    <w:rsid w:val="00796806"/>
    <w:rsid w:val="0079754B"/>
    <w:rsid w:val="007A1E6D"/>
    <w:rsid w:val="007A507B"/>
    <w:rsid w:val="007B0EB2"/>
    <w:rsid w:val="007E119D"/>
    <w:rsid w:val="007F2434"/>
    <w:rsid w:val="00804BCB"/>
    <w:rsid w:val="00810B6F"/>
    <w:rsid w:val="008115A4"/>
    <w:rsid w:val="00822CE0"/>
    <w:rsid w:val="00841AB1"/>
    <w:rsid w:val="00850858"/>
    <w:rsid w:val="00855675"/>
    <w:rsid w:val="008608B7"/>
    <w:rsid w:val="008628FB"/>
    <w:rsid w:val="00880B3E"/>
    <w:rsid w:val="00883102"/>
    <w:rsid w:val="00890472"/>
    <w:rsid w:val="008A089C"/>
    <w:rsid w:val="008B085D"/>
    <w:rsid w:val="008B0BA9"/>
    <w:rsid w:val="008C4451"/>
    <w:rsid w:val="008C4C94"/>
    <w:rsid w:val="008C68F1"/>
    <w:rsid w:val="008D6458"/>
    <w:rsid w:val="008E14AE"/>
    <w:rsid w:val="008F2706"/>
    <w:rsid w:val="008F75D7"/>
    <w:rsid w:val="008F7B02"/>
    <w:rsid w:val="009041D1"/>
    <w:rsid w:val="00921803"/>
    <w:rsid w:val="00926503"/>
    <w:rsid w:val="0094544A"/>
    <w:rsid w:val="0095568C"/>
    <w:rsid w:val="00957DC4"/>
    <w:rsid w:val="00963E00"/>
    <w:rsid w:val="0096710F"/>
    <w:rsid w:val="0096733E"/>
    <w:rsid w:val="009726D8"/>
    <w:rsid w:val="00991495"/>
    <w:rsid w:val="009A145B"/>
    <w:rsid w:val="009A1FBB"/>
    <w:rsid w:val="009A30BD"/>
    <w:rsid w:val="009B67AA"/>
    <w:rsid w:val="009C0229"/>
    <w:rsid w:val="009D7308"/>
    <w:rsid w:val="009D76DB"/>
    <w:rsid w:val="009D7E89"/>
    <w:rsid w:val="009E4814"/>
    <w:rsid w:val="009F2290"/>
    <w:rsid w:val="009F56D8"/>
    <w:rsid w:val="009F76DB"/>
    <w:rsid w:val="00A053B8"/>
    <w:rsid w:val="00A142D3"/>
    <w:rsid w:val="00A24DD5"/>
    <w:rsid w:val="00A32C3B"/>
    <w:rsid w:val="00A45F4F"/>
    <w:rsid w:val="00A5449D"/>
    <w:rsid w:val="00A600A9"/>
    <w:rsid w:val="00A65919"/>
    <w:rsid w:val="00A741B8"/>
    <w:rsid w:val="00A95465"/>
    <w:rsid w:val="00AA55B7"/>
    <w:rsid w:val="00AA5B9E"/>
    <w:rsid w:val="00AA6EA8"/>
    <w:rsid w:val="00AB2407"/>
    <w:rsid w:val="00AB53DF"/>
    <w:rsid w:val="00AD1973"/>
    <w:rsid w:val="00AF4DE9"/>
    <w:rsid w:val="00AF5EBE"/>
    <w:rsid w:val="00B05070"/>
    <w:rsid w:val="00B07E5C"/>
    <w:rsid w:val="00B31687"/>
    <w:rsid w:val="00B404C4"/>
    <w:rsid w:val="00B6507A"/>
    <w:rsid w:val="00B657FF"/>
    <w:rsid w:val="00B811F7"/>
    <w:rsid w:val="00B871E2"/>
    <w:rsid w:val="00B87C2D"/>
    <w:rsid w:val="00BA5DC6"/>
    <w:rsid w:val="00BA6196"/>
    <w:rsid w:val="00BB54AA"/>
    <w:rsid w:val="00BC6D8C"/>
    <w:rsid w:val="00BE2E43"/>
    <w:rsid w:val="00BE2E49"/>
    <w:rsid w:val="00BE63E4"/>
    <w:rsid w:val="00BF5821"/>
    <w:rsid w:val="00BF5AEE"/>
    <w:rsid w:val="00C0449B"/>
    <w:rsid w:val="00C20B1E"/>
    <w:rsid w:val="00C22C5A"/>
    <w:rsid w:val="00C25F7F"/>
    <w:rsid w:val="00C3179E"/>
    <w:rsid w:val="00C34006"/>
    <w:rsid w:val="00C36B4C"/>
    <w:rsid w:val="00C4231C"/>
    <w:rsid w:val="00C426B1"/>
    <w:rsid w:val="00C44B19"/>
    <w:rsid w:val="00C454B8"/>
    <w:rsid w:val="00C62E33"/>
    <w:rsid w:val="00C66160"/>
    <w:rsid w:val="00C721AC"/>
    <w:rsid w:val="00C744F1"/>
    <w:rsid w:val="00C80C89"/>
    <w:rsid w:val="00C90D6A"/>
    <w:rsid w:val="00CA247E"/>
    <w:rsid w:val="00CA6D21"/>
    <w:rsid w:val="00CB5CBA"/>
    <w:rsid w:val="00CC72B6"/>
    <w:rsid w:val="00CD5B0E"/>
    <w:rsid w:val="00CE28DD"/>
    <w:rsid w:val="00CF5208"/>
    <w:rsid w:val="00D0218D"/>
    <w:rsid w:val="00D108E4"/>
    <w:rsid w:val="00D21609"/>
    <w:rsid w:val="00D25D06"/>
    <w:rsid w:val="00D25FB5"/>
    <w:rsid w:val="00D31D8C"/>
    <w:rsid w:val="00D4133B"/>
    <w:rsid w:val="00D44223"/>
    <w:rsid w:val="00D446A6"/>
    <w:rsid w:val="00D631FF"/>
    <w:rsid w:val="00D70757"/>
    <w:rsid w:val="00D874FB"/>
    <w:rsid w:val="00D96898"/>
    <w:rsid w:val="00D96EFE"/>
    <w:rsid w:val="00DA2529"/>
    <w:rsid w:val="00DA5784"/>
    <w:rsid w:val="00DA6619"/>
    <w:rsid w:val="00DB130A"/>
    <w:rsid w:val="00DB2482"/>
    <w:rsid w:val="00DB2EBB"/>
    <w:rsid w:val="00DB38BC"/>
    <w:rsid w:val="00DC10A1"/>
    <w:rsid w:val="00DC655F"/>
    <w:rsid w:val="00DD0B59"/>
    <w:rsid w:val="00DD0E0C"/>
    <w:rsid w:val="00DD4BCF"/>
    <w:rsid w:val="00DD7EBD"/>
    <w:rsid w:val="00DE653C"/>
    <w:rsid w:val="00DF62B6"/>
    <w:rsid w:val="00E07225"/>
    <w:rsid w:val="00E45B07"/>
    <w:rsid w:val="00E5409F"/>
    <w:rsid w:val="00E55586"/>
    <w:rsid w:val="00E56947"/>
    <w:rsid w:val="00E70C81"/>
    <w:rsid w:val="00E73C41"/>
    <w:rsid w:val="00E91C8A"/>
    <w:rsid w:val="00E94563"/>
    <w:rsid w:val="00EC1D0A"/>
    <w:rsid w:val="00EC4D02"/>
    <w:rsid w:val="00EC6094"/>
    <w:rsid w:val="00ED24A8"/>
    <w:rsid w:val="00EE2BB6"/>
    <w:rsid w:val="00EE6488"/>
    <w:rsid w:val="00EE64D3"/>
    <w:rsid w:val="00EF2367"/>
    <w:rsid w:val="00EF4694"/>
    <w:rsid w:val="00EF574B"/>
    <w:rsid w:val="00EF6ACA"/>
    <w:rsid w:val="00F00D7C"/>
    <w:rsid w:val="00F021FA"/>
    <w:rsid w:val="00F10D5A"/>
    <w:rsid w:val="00F17E24"/>
    <w:rsid w:val="00F21752"/>
    <w:rsid w:val="00F22E67"/>
    <w:rsid w:val="00F246D9"/>
    <w:rsid w:val="00F36968"/>
    <w:rsid w:val="00F439A4"/>
    <w:rsid w:val="00F44447"/>
    <w:rsid w:val="00F62DBC"/>
    <w:rsid w:val="00F62E97"/>
    <w:rsid w:val="00F64209"/>
    <w:rsid w:val="00F65B02"/>
    <w:rsid w:val="00F77C88"/>
    <w:rsid w:val="00F8156B"/>
    <w:rsid w:val="00F83793"/>
    <w:rsid w:val="00F927E8"/>
    <w:rsid w:val="00F93BF5"/>
    <w:rsid w:val="00F96D16"/>
    <w:rsid w:val="00FA0645"/>
    <w:rsid w:val="00FD1E7C"/>
    <w:rsid w:val="00FD2E44"/>
    <w:rsid w:val="00FD6BF5"/>
    <w:rsid w:val="00FE1B03"/>
    <w:rsid w:val="00FE4CBA"/>
    <w:rsid w:val="358B0333"/>
    <w:rsid w:val="4E6B1FF7"/>
    <w:rsid w:val="56BAB034"/>
    <w:rsid w:val="6D40E40B"/>
    <w:rsid w:val="748E114E"/>
    <w:rsid w:val="77A2336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854E556"/>
  <w15:chartTrackingRefBased/>
  <w15:docId w15:val="{6C67384D-5D50-406C-9213-69BF4DE4B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E9F"/>
    <w:pPr>
      <w:widowControl w:val="0"/>
    </w:pPr>
    <w:rPr>
      <w:snapToGrid w:val="0"/>
      <w:kern w:val="28"/>
      <w:sz w:val="22"/>
    </w:rPr>
  </w:style>
  <w:style w:type="paragraph" w:styleId="Heading1">
    <w:name w:val="heading 1"/>
    <w:basedOn w:val="Normal"/>
    <w:next w:val="ParaNum"/>
    <w:link w:val="Heading1Char"/>
    <w:qFormat/>
    <w:rsid w:val="00106E9F"/>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link w:val="Heading2Char"/>
    <w:autoRedefine/>
    <w:qFormat/>
    <w:rsid w:val="00CE28DD"/>
    <w:pPr>
      <w:keepNext/>
      <w:numPr>
        <w:ilvl w:val="1"/>
        <w:numId w:val="3"/>
      </w:numPr>
      <w:spacing w:after="120"/>
      <w:outlineLvl w:val="1"/>
    </w:pPr>
    <w:rPr>
      <w:b/>
    </w:rPr>
  </w:style>
  <w:style w:type="paragraph" w:styleId="Heading3">
    <w:name w:val="heading 3"/>
    <w:aliases w:val="3 Char,Titre 3 Char,1 Char,31 Char,Titre 31 Char,?? 3 Char,3,Titre 3,1,31,Titre 31,?? 3,Heading 3 Char1,Heading 3 Char Char,Heading 3 Char1 Char Char,Heading 3 Char Char Char Char,Heading 3 Char2 Char1 Char Char,Heading 3 Char Char1 Ch"/>
    <w:basedOn w:val="Normal"/>
    <w:next w:val="ParaNum"/>
    <w:qFormat/>
    <w:rsid w:val="00106E9F"/>
    <w:pPr>
      <w:keepNext/>
      <w:numPr>
        <w:ilvl w:val="2"/>
        <w:numId w:val="3"/>
      </w:numPr>
      <w:tabs>
        <w:tab w:val="left" w:pos="2160"/>
      </w:tabs>
      <w:spacing w:after="120"/>
      <w:outlineLvl w:val="2"/>
    </w:pPr>
    <w:rPr>
      <w:b/>
    </w:rPr>
  </w:style>
  <w:style w:type="paragraph" w:styleId="Heading4">
    <w:name w:val="heading 4"/>
    <w:aliases w:val="Heading 4 Char2,Heading 4 Char1 Char,Heading 4 Char Char Char,Heading 4 Char Char1,Heading 4 Char1,Heading 4 Char Char,Heading 4 Char2 Char Char,Heading 4 Char1 Char1 Char Char,Heading 4 Char Char Char1 Char Char,Heading 4 Char Char1 Char Char"/>
    <w:basedOn w:val="Normal"/>
    <w:next w:val="ParaNum"/>
    <w:qFormat/>
    <w:rsid w:val="00106E9F"/>
    <w:pPr>
      <w:keepNext/>
      <w:numPr>
        <w:ilvl w:val="3"/>
        <w:numId w:val="3"/>
      </w:numPr>
      <w:tabs>
        <w:tab w:val="left" w:pos="2880"/>
      </w:tabs>
      <w:spacing w:after="120"/>
      <w:outlineLvl w:val="3"/>
    </w:pPr>
    <w:rPr>
      <w:b/>
    </w:rPr>
  </w:style>
  <w:style w:type="paragraph" w:styleId="Heading5">
    <w:name w:val="heading 5"/>
    <w:basedOn w:val="Normal"/>
    <w:next w:val="ParaNum"/>
    <w:qFormat/>
    <w:rsid w:val="00106E9F"/>
    <w:pPr>
      <w:keepNext/>
      <w:numPr>
        <w:ilvl w:val="4"/>
        <w:numId w:val="3"/>
      </w:numPr>
      <w:tabs>
        <w:tab w:val="left" w:pos="3600"/>
      </w:tabs>
      <w:suppressAutoHyphens/>
      <w:spacing w:after="120"/>
      <w:outlineLvl w:val="4"/>
    </w:pPr>
    <w:rPr>
      <w:b/>
    </w:rPr>
  </w:style>
  <w:style w:type="paragraph" w:styleId="Heading6">
    <w:name w:val="heading 6"/>
    <w:aliases w:val="h6"/>
    <w:basedOn w:val="Normal"/>
    <w:next w:val="ParaNum"/>
    <w:qFormat/>
    <w:rsid w:val="00106E9F"/>
    <w:pPr>
      <w:numPr>
        <w:ilvl w:val="5"/>
        <w:numId w:val="3"/>
      </w:numPr>
      <w:tabs>
        <w:tab w:val="left" w:pos="4320"/>
      </w:tabs>
      <w:spacing w:after="120"/>
      <w:outlineLvl w:val="5"/>
    </w:pPr>
    <w:rPr>
      <w:b/>
    </w:rPr>
  </w:style>
  <w:style w:type="paragraph" w:styleId="Heading7">
    <w:name w:val="heading 7"/>
    <w:basedOn w:val="Normal"/>
    <w:next w:val="ParaNum"/>
    <w:qFormat/>
    <w:rsid w:val="00106E9F"/>
    <w:pPr>
      <w:numPr>
        <w:ilvl w:val="6"/>
        <w:numId w:val="3"/>
      </w:numPr>
      <w:tabs>
        <w:tab w:val="left" w:pos="5040"/>
      </w:tabs>
      <w:spacing w:after="120"/>
      <w:ind w:left="5040" w:hanging="720"/>
      <w:outlineLvl w:val="6"/>
    </w:pPr>
    <w:rPr>
      <w:b/>
    </w:rPr>
  </w:style>
  <w:style w:type="paragraph" w:styleId="Heading8">
    <w:name w:val="heading 8"/>
    <w:basedOn w:val="Normal"/>
    <w:next w:val="ParaNum"/>
    <w:qFormat/>
    <w:rsid w:val="00106E9F"/>
    <w:pPr>
      <w:numPr>
        <w:ilvl w:val="7"/>
        <w:numId w:val="3"/>
      </w:numPr>
      <w:tabs>
        <w:tab w:val="clear" w:pos="5400"/>
        <w:tab w:val="left" w:pos="5760"/>
      </w:tabs>
      <w:spacing w:after="120"/>
      <w:ind w:left="5760" w:hanging="720"/>
      <w:outlineLvl w:val="7"/>
    </w:pPr>
    <w:rPr>
      <w:b/>
    </w:rPr>
  </w:style>
  <w:style w:type="paragraph" w:styleId="Heading9">
    <w:name w:val="heading 9"/>
    <w:aliases w:val="Topic,table,t,9,Heading 9.table,Titre 9"/>
    <w:basedOn w:val="Normal"/>
    <w:next w:val="ParaNum"/>
    <w:qFormat/>
    <w:rsid w:val="00106E9F"/>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rsid w:val="00A741B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06E9F"/>
  </w:style>
  <w:style w:type="paragraph" w:customStyle="1" w:styleId="ParaNum">
    <w:name w:val="ParaNum"/>
    <w:basedOn w:val="Normal"/>
    <w:link w:val="ParaNumChar"/>
    <w:rsid w:val="00106E9F"/>
    <w:pPr>
      <w:numPr>
        <w:numId w:val="2"/>
      </w:numPr>
      <w:tabs>
        <w:tab w:val="clear" w:pos="1080"/>
        <w:tab w:val="num" w:pos="1440"/>
      </w:tabs>
      <w:spacing w:after="120"/>
    </w:pPr>
  </w:style>
  <w:style w:type="paragraph" w:styleId="EndnoteText">
    <w:name w:val="endnote text"/>
    <w:basedOn w:val="Normal"/>
    <w:semiHidden/>
    <w:rsid w:val="00106E9F"/>
    <w:rPr>
      <w:sz w:val="20"/>
    </w:rPr>
  </w:style>
  <w:style w:type="character" w:styleId="EndnoteReference">
    <w:name w:val="endnote reference"/>
    <w:semiHidden/>
    <w:rsid w:val="00106E9F"/>
    <w:rPr>
      <w:vertAlign w:val="superscript"/>
    </w:rPr>
  </w:style>
  <w:style w:type="paragraph" w:styleId="FootnoteText">
    <w:name w:val="footnote text"/>
    <w:link w:val="FootnoteTextChar"/>
    <w:rsid w:val="00106E9F"/>
    <w:pPr>
      <w:spacing w:after="120"/>
    </w:pPr>
  </w:style>
  <w:style w:type="character" w:styleId="FootnoteReference">
    <w:name w:val="footnote reference"/>
    <w:aliases w:val="Appel note de bas de p,Style 12,(NECG) Footnote Reference,Style 124,o,fr,Style 3,Style 13,Footnote Reference/,FR,Style 17,Style 6,Style 7,Style 4,Footnote Reference1,Style 34,Style 9,Style 20,callout,-E Funotenzeichen,A,Ref,Style 1,R"/>
    <w:rsid w:val="00106E9F"/>
    <w:rPr>
      <w:rFonts w:ascii="Times New Roman" w:hAnsi="Times New Roman"/>
      <w:dstrike w:val="0"/>
      <w:color w:val="auto"/>
      <w:sz w:val="20"/>
      <w:vertAlign w:val="superscript"/>
    </w:rPr>
  </w:style>
  <w:style w:type="paragraph" w:styleId="TOC1">
    <w:name w:val="toc 1"/>
    <w:basedOn w:val="Normal"/>
    <w:next w:val="Normal"/>
    <w:semiHidden/>
    <w:rsid w:val="00106E9F"/>
    <w:pPr>
      <w:tabs>
        <w:tab w:val="left" w:pos="360"/>
        <w:tab w:val="right" w:leader="dot" w:pos="9360"/>
      </w:tabs>
      <w:suppressAutoHyphens/>
      <w:ind w:left="360" w:right="720" w:hanging="360"/>
    </w:pPr>
    <w:rPr>
      <w:caps/>
      <w:noProof/>
    </w:rPr>
  </w:style>
  <w:style w:type="paragraph" w:styleId="TOC2">
    <w:name w:val="toc 2"/>
    <w:basedOn w:val="Normal"/>
    <w:next w:val="Normal"/>
    <w:semiHidden/>
    <w:rsid w:val="00106E9F"/>
    <w:pPr>
      <w:tabs>
        <w:tab w:val="left" w:pos="720"/>
        <w:tab w:val="right" w:leader="dot" w:pos="9360"/>
      </w:tabs>
      <w:suppressAutoHyphens/>
      <w:ind w:left="720" w:right="720" w:hanging="360"/>
    </w:pPr>
    <w:rPr>
      <w:noProof/>
    </w:rPr>
  </w:style>
  <w:style w:type="paragraph" w:styleId="TOC3">
    <w:name w:val="toc 3"/>
    <w:basedOn w:val="Normal"/>
    <w:next w:val="Normal"/>
    <w:semiHidden/>
    <w:rsid w:val="00106E9F"/>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106E9F"/>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106E9F"/>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106E9F"/>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106E9F"/>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106E9F"/>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106E9F"/>
    <w:pPr>
      <w:tabs>
        <w:tab w:val="left" w:pos="3240"/>
        <w:tab w:val="right" w:leader="dot" w:pos="9360"/>
      </w:tabs>
      <w:suppressAutoHyphens/>
      <w:ind w:left="3240" w:hanging="360"/>
    </w:pPr>
    <w:rPr>
      <w:noProof/>
    </w:rPr>
  </w:style>
  <w:style w:type="paragraph" w:styleId="TOAHeading">
    <w:name w:val="toa heading"/>
    <w:basedOn w:val="Normal"/>
    <w:next w:val="Normal"/>
    <w:semiHidden/>
    <w:rsid w:val="00106E9F"/>
    <w:pPr>
      <w:tabs>
        <w:tab w:val="right" w:pos="9360"/>
      </w:tabs>
      <w:suppressAutoHyphens/>
    </w:pPr>
  </w:style>
  <w:style w:type="character" w:customStyle="1" w:styleId="EquationCaption">
    <w:name w:val="_Equation Caption"/>
    <w:rsid w:val="00106E9F"/>
  </w:style>
  <w:style w:type="paragraph" w:styleId="Header">
    <w:name w:val="header"/>
    <w:basedOn w:val="Normal"/>
    <w:link w:val="HeaderChar"/>
    <w:autoRedefine/>
    <w:rsid w:val="00106E9F"/>
    <w:pPr>
      <w:tabs>
        <w:tab w:val="center" w:pos="4680"/>
        <w:tab w:val="right" w:pos="9360"/>
      </w:tabs>
    </w:pPr>
    <w:rPr>
      <w:b/>
    </w:rPr>
  </w:style>
  <w:style w:type="paragraph" w:styleId="Footer">
    <w:name w:val="footer"/>
    <w:basedOn w:val="Normal"/>
    <w:link w:val="FooterChar"/>
    <w:uiPriority w:val="99"/>
    <w:rsid w:val="00106E9F"/>
    <w:pPr>
      <w:tabs>
        <w:tab w:val="center" w:pos="4320"/>
        <w:tab w:val="right" w:pos="8640"/>
      </w:tabs>
    </w:pPr>
  </w:style>
  <w:style w:type="character" w:styleId="PageNumber">
    <w:name w:val="page number"/>
    <w:basedOn w:val="DefaultParagraphFont"/>
    <w:rsid w:val="00106E9F"/>
  </w:style>
  <w:style w:type="paragraph" w:styleId="BlockText">
    <w:name w:val="Block Text"/>
    <w:basedOn w:val="Normal"/>
    <w:rsid w:val="00106E9F"/>
    <w:pPr>
      <w:spacing w:after="240"/>
      <w:ind w:left="1440" w:right="1440"/>
    </w:pPr>
  </w:style>
  <w:style w:type="paragraph" w:customStyle="1" w:styleId="Paratitle">
    <w:name w:val="Para title"/>
    <w:basedOn w:val="Normal"/>
    <w:rsid w:val="00106E9F"/>
    <w:pPr>
      <w:tabs>
        <w:tab w:val="center" w:pos="9270"/>
      </w:tabs>
      <w:spacing w:after="240"/>
    </w:pPr>
    <w:rPr>
      <w:spacing w:val="-2"/>
    </w:rPr>
  </w:style>
  <w:style w:type="paragraph" w:customStyle="1" w:styleId="Bullet">
    <w:name w:val="Bullet"/>
    <w:basedOn w:val="Normal"/>
    <w:rsid w:val="00106E9F"/>
    <w:pPr>
      <w:tabs>
        <w:tab w:val="left" w:pos="2160"/>
      </w:tabs>
      <w:spacing w:after="220"/>
      <w:ind w:left="2160" w:hanging="720"/>
    </w:pPr>
  </w:style>
  <w:style w:type="paragraph" w:customStyle="1" w:styleId="TableFormat">
    <w:name w:val="TableFormat"/>
    <w:basedOn w:val="Bullet"/>
    <w:rsid w:val="00106E9F"/>
    <w:pPr>
      <w:tabs>
        <w:tab w:val="clear" w:pos="2160"/>
        <w:tab w:val="left" w:pos="5040"/>
      </w:tabs>
      <w:ind w:left="5040" w:hanging="3600"/>
    </w:pPr>
  </w:style>
  <w:style w:type="paragraph" w:customStyle="1" w:styleId="TOCTitle">
    <w:name w:val="TOC Title"/>
    <w:basedOn w:val="Normal"/>
    <w:rsid w:val="00106E9F"/>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106E9F"/>
    <w:pPr>
      <w:jc w:val="center"/>
    </w:pPr>
    <w:rPr>
      <w:rFonts w:ascii="Times New Roman Bold" w:hAnsi="Times New Roman Bold"/>
      <w:b/>
      <w:bCs/>
      <w:caps/>
      <w:szCs w:val="22"/>
    </w:rPr>
  </w:style>
  <w:style w:type="character" w:styleId="Hyperlink">
    <w:name w:val="Hyperlink"/>
    <w:rsid w:val="00106E9F"/>
    <w:rPr>
      <w:color w:val="0000FF"/>
      <w:u w:val="single"/>
    </w:rPr>
  </w:style>
  <w:style w:type="character" w:customStyle="1" w:styleId="FooterChar">
    <w:name w:val="Footer Char"/>
    <w:link w:val="Footer"/>
    <w:uiPriority w:val="99"/>
    <w:rsid w:val="00106E9F"/>
    <w:rPr>
      <w:snapToGrid w:val="0"/>
      <w:kern w:val="28"/>
      <w:sz w:val="22"/>
    </w:rPr>
  </w:style>
  <w:style w:type="character" w:customStyle="1" w:styleId="Heading1Char">
    <w:name w:val="Heading 1 Char"/>
    <w:link w:val="Heading1"/>
    <w:rsid w:val="001747A8"/>
    <w:rPr>
      <w:rFonts w:ascii="Times New Roman Bold" w:hAnsi="Times New Roman Bold"/>
      <w:b/>
      <w:caps/>
      <w:snapToGrid w:val="0"/>
      <w:kern w:val="28"/>
      <w:sz w:val="22"/>
    </w:rPr>
  </w:style>
  <w:style w:type="character" w:customStyle="1" w:styleId="Heading2Char">
    <w:name w:val="Heading 2 Char"/>
    <w:link w:val="Heading2"/>
    <w:rsid w:val="001747A8"/>
    <w:rPr>
      <w:b/>
      <w:snapToGrid w:val="0"/>
      <w:kern w:val="28"/>
      <w:sz w:val="22"/>
    </w:rPr>
  </w:style>
  <w:style w:type="character" w:customStyle="1" w:styleId="FootnoteTextChar">
    <w:name w:val="Footnote Text Char"/>
    <w:basedOn w:val="DefaultParagraphFont"/>
    <w:link w:val="FootnoteText"/>
    <w:rsid w:val="001747A8"/>
  </w:style>
  <w:style w:type="character" w:customStyle="1" w:styleId="HeaderChar">
    <w:name w:val="Header Char"/>
    <w:link w:val="Header"/>
    <w:rsid w:val="001747A8"/>
    <w:rPr>
      <w:b/>
      <w:snapToGrid w:val="0"/>
      <w:kern w:val="28"/>
      <w:sz w:val="22"/>
    </w:rPr>
  </w:style>
  <w:style w:type="character" w:customStyle="1" w:styleId="ParaNumChar">
    <w:name w:val="ParaNum Char"/>
    <w:link w:val="ParaNum"/>
    <w:locked/>
    <w:rsid w:val="001747A8"/>
    <w:rPr>
      <w:snapToGrid w:val="0"/>
      <w:kern w:val="28"/>
      <w:sz w:val="22"/>
    </w:rPr>
  </w:style>
  <w:style w:type="character" w:styleId="CommentReference">
    <w:name w:val="annotation reference"/>
    <w:rsid w:val="001747A8"/>
    <w:rPr>
      <w:sz w:val="16"/>
      <w:szCs w:val="16"/>
    </w:rPr>
  </w:style>
  <w:style w:type="paragraph" w:styleId="CommentText">
    <w:name w:val="annotation text"/>
    <w:basedOn w:val="Normal"/>
    <w:link w:val="CommentTextChar"/>
    <w:rsid w:val="001747A8"/>
    <w:rPr>
      <w:sz w:val="20"/>
    </w:rPr>
  </w:style>
  <w:style w:type="character" w:customStyle="1" w:styleId="CommentTextChar">
    <w:name w:val="Comment Text Char"/>
    <w:link w:val="CommentText"/>
    <w:rsid w:val="001747A8"/>
    <w:rPr>
      <w:snapToGrid w:val="0"/>
      <w:kern w:val="28"/>
    </w:rPr>
  </w:style>
  <w:style w:type="paragraph" w:styleId="Revision">
    <w:name w:val="Revision"/>
    <w:hidden/>
    <w:uiPriority w:val="99"/>
    <w:semiHidden/>
    <w:rsid w:val="001A6D57"/>
    <w:rPr>
      <w:snapToGrid w:val="0"/>
      <w:kern w:val="28"/>
      <w:sz w:val="22"/>
    </w:rPr>
  </w:style>
  <w:style w:type="paragraph" w:customStyle="1" w:styleId="SubjectMatterIntro-Left">
    <w:name w:val="Subject Matter Intro-Left"/>
    <w:basedOn w:val="Normal"/>
    <w:autoRedefine/>
    <w:uiPriority w:val="2"/>
    <w:rsid w:val="00DD4BCF"/>
    <w:pPr>
      <w:widowControl/>
      <w:spacing w:after="240"/>
      <w:ind w:right="432"/>
    </w:pPr>
    <w:rPr>
      <w:rFonts w:eastAsia="Calibri"/>
      <w:snapToGrid/>
      <w:kern w:val="2"/>
    </w:rPr>
  </w:style>
  <w:style w:type="paragraph" w:customStyle="1" w:styleId="SubjectMatterIntro-Right">
    <w:name w:val="Subject Matter Intro-Right"/>
    <w:basedOn w:val="Normal"/>
    <w:autoRedefine/>
    <w:uiPriority w:val="2"/>
    <w:rsid w:val="00DD4BCF"/>
    <w:pPr>
      <w:widowControl/>
      <w:spacing w:after="240"/>
      <w:ind w:left="432"/>
    </w:pPr>
    <w:rPr>
      <w:rFonts w:eastAsia="Calibri"/>
      <w:snapToGrid/>
      <w:kern w:val="2"/>
    </w:rPr>
  </w:style>
  <w:style w:type="character" w:customStyle="1" w:styleId="StyleFootnoteReference">
    <w:name w:val="Style Footnote Reference"/>
    <w:rsid w:val="00681C5F"/>
    <w:rPr>
      <w:rFonts w:ascii="Times New Roman" w:hAnsi="Times New Roman"/>
      <w:dstrike w:val="0"/>
      <w:color w:val="auto"/>
      <w:sz w:val="22"/>
      <w:vertAlign w:val="superscript"/>
    </w:rPr>
  </w:style>
  <w:style w:type="character" w:styleId="FollowedHyperlink">
    <w:name w:val="FollowedHyperlink"/>
    <w:rsid w:val="009D76DB"/>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2.xml" /><Relationship Id="rId12" Type="http://schemas.openxmlformats.org/officeDocument/2006/relationships/footer" Target="footer3.xml" /><Relationship Id="rId13" Type="http://schemas.openxmlformats.org/officeDocument/2006/relationships/header" Target="header3.xml" /><Relationship Id="rId14" Type="http://schemas.openxmlformats.org/officeDocument/2006/relationships/footer" Target="footer4.xml" /><Relationship Id="rId15" Type="http://schemas.openxmlformats.org/officeDocument/2006/relationships/footer" Target="footer5.xml" /><Relationship Id="rId16" Type="http://schemas.openxmlformats.org/officeDocument/2006/relationships/header" Target="header4.xml" /><Relationship Id="rId17" Type="http://schemas.openxmlformats.org/officeDocument/2006/relationships/footer" Target="footer6.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endnotes" Target="endnotes.xml" /><Relationship Id="rId20"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mailto:fcc504@fcc.gov" TargetMode="External" /><Relationship Id="rId7" Type="http://schemas.openxmlformats.org/officeDocument/2006/relationships/hyperlink" Target="mailto:Joshua.Mendelsohn@fcc.gov" TargetMode="External" /><Relationship Id="rId8" Type="http://schemas.openxmlformats.org/officeDocument/2006/relationships/header" Target="header1.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tap.gallaudet.edu/Text/faq1.html" TargetMode="External" /><Relationship Id="rId10" Type="http://schemas.openxmlformats.org/officeDocument/2006/relationships/hyperlink" Target="https://advocacy.sba.gov/wp-content/uploads/2024/12/Frequently-Asked-Questions-About-Small-Business_2024-508.pdf" TargetMode="External" /><Relationship Id="rId11" Type="http://schemas.openxmlformats.org/officeDocument/2006/relationships/hyperlink" Target="https://advocacy.sba.gov/2019/07/25/small-business-facts-spotlight-on-nonprofits/" TargetMode="External" /><Relationship Id="rId12" Type="http://schemas.openxmlformats.org/officeDocument/2006/relationships/hyperlink" Target="https://www.census.gov/data/tables/2022/econ/gus/2022-governments.html" TargetMode="External" /><Relationship Id="rId13" Type="http://schemas.openxmlformats.org/officeDocument/2006/relationships/hyperlink" Target="http://www.census.gov/NAICS" TargetMode="External" /><Relationship Id="rId2" Type="http://schemas.openxmlformats.org/officeDocument/2006/relationships/hyperlink" Target="https://www.fcc.gov/ecfs/document/108241016422142/1" TargetMode="External" /><Relationship Id="rId3" Type="http://schemas.openxmlformats.org/officeDocument/2006/relationships/hyperlink" Target="https://www.fcc.gov/ecfs/document/1024288300199/1" TargetMode="External" /><Relationship Id="rId4" Type="http://schemas.openxmlformats.org/officeDocument/2006/relationships/hyperlink" Target="https://www.fcc.gov/ecfs/document/1109585118187/1" TargetMode="External" /><Relationship Id="rId5" Type="http://schemas.openxmlformats.org/officeDocument/2006/relationships/hyperlink" Target="https://www.fcc.gov/ecfs/document/1118158375423/1" TargetMode="External" /><Relationship Id="rId6" Type="http://schemas.openxmlformats.org/officeDocument/2006/relationships/hyperlink" Target="https://www.fcc.gov/ecfs/document/10923065070295/1" TargetMode="External" /><Relationship Id="rId7" Type="http://schemas.openxmlformats.org/officeDocument/2006/relationships/hyperlink" Target="https://www.fcc.gov/ecfs/document/109261610312057/1" TargetMode="External" /><Relationship Id="rId8" Type="http://schemas.openxmlformats.org/officeDocument/2006/relationships/hyperlink" Target="https://www.fcc.gov/ecfs/document/10924530801746/1" TargetMode="External" /><Relationship Id="rId9" Type="http://schemas.openxmlformats.org/officeDocument/2006/relationships/hyperlink" Target="https://www.fcc.gov/ecfs/document/10411511105125/1"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Michael.Scott\FCC\FCC%20-%20NAL\Form\OS%20Process\Legacy%20OS%20Templates\Orders%20TOC%20by%20Paragraph.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Orders TOC by Paragraph</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