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4F623B" w:rsidRPr="00106E9F" w:rsidP="004F623B" w14:paraId="0C4556E6" w14:textId="77777777">
      <w:pPr>
        <w:jc w:val="center"/>
        <w:rPr>
          <w:b/>
          <w:bCs/>
        </w:rPr>
      </w:pPr>
      <w:r w:rsidRPr="00106E9F">
        <w:rPr>
          <w:b/>
          <w:bCs/>
        </w:rPr>
        <w:t>STATEMENT OF</w:t>
      </w:r>
    </w:p>
    <w:p w:rsidR="004F623B" w:rsidRPr="00106E9F" w:rsidP="004F623B" w14:paraId="5B237CF6" w14:textId="77777777">
      <w:pPr>
        <w:jc w:val="center"/>
        <w:rPr>
          <w:b/>
          <w:bCs/>
        </w:rPr>
      </w:pPr>
      <w:r w:rsidRPr="00106E9F">
        <w:rPr>
          <w:b/>
          <w:bCs/>
        </w:rPr>
        <w:t>CHAIRMAN BRENDAN CARR</w:t>
      </w:r>
    </w:p>
    <w:p w:rsidR="004F623B" w:rsidRPr="00CD5B0E" w:rsidP="004F623B" w14:paraId="7B7DC72D" w14:textId="77777777"/>
    <w:p w:rsidR="004F623B" w:rsidP="004F623B" w14:paraId="234EF313" w14:textId="77777777">
      <w:r w:rsidRPr="00686C21">
        <w:t xml:space="preserve">Re: </w:t>
      </w:r>
      <w:r w:rsidRPr="00686C21">
        <w:tab/>
      </w:r>
      <w:r w:rsidRPr="00686C21">
        <w:rPr>
          <w:i/>
          <w:iCs/>
        </w:rPr>
        <w:t>Telecommunications Relay Services and Speech-to-Speech Services for Individuals with Hearing and Speech Disabilities</w:t>
      </w:r>
      <w:r w:rsidRPr="00686C21">
        <w:t xml:space="preserve">; </w:t>
      </w:r>
      <w:r w:rsidRPr="00686C21">
        <w:rPr>
          <w:i/>
          <w:iCs/>
        </w:rPr>
        <w:t>Delete, Delete, Delete</w:t>
      </w:r>
      <w:r w:rsidRPr="00686C21">
        <w:t>, CG Docket No. 03-123; GN Docket No. 25-133.</w:t>
      </w:r>
    </w:p>
    <w:p w:rsidR="004F623B" w:rsidP="004F623B" w14:paraId="26CFDEC5" w14:textId="77777777"/>
    <w:p w:rsidR="004F623B" w:rsidP="004F623B" w14:paraId="0FA1EE42" w14:textId="77777777">
      <w:pPr>
        <w:spacing w:after="120"/>
        <w:ind w:firstLine="720"/>
        <w:rPr>
          <w:szCs w:val="22"/>
        </w:rPr>
      </w:pPr>
      <w:r>
        <w:rPr>
          <w:szCs w:val="22"/>
        </w:rPr>
        <w:t xml:space="preserve">Since teletypewriters or TTYs were introduced in the 1960s, relay service has evolved significantly.  However, at times, the Commission’s rules have not kept up with the pace of technological change.  Today, we take action to bring our rules into the modern era by eliminating an outdated requirement that TTY-based devices remain capable of communicating in ASCII. </w:t>
      </w:r>
    </w:p>
    <w:p w:rsidR="004F623B" w:rsidP="004F623B" w14:paraId="523E006A" w14:textId="77777777">
      <w:pPr>
        <w:spacing w:after="120"/>
        <w:ind w:firstLine="720"/>
        <w:rPr>
          <w:szCs w:val="22"/>
        </w:rPr>
      </w:pPr>
      <w:r>
        <w:rPr>
          <w:szCs w:val="22"/>
        </w:rPr>
        <w:t xml:space="preserve">Back in 1991, the Commission required </w:t>
      </w:r>
      <w:r w:rsidRPr="00584DF7">
        <w:rPr>
          <w:szCs w:val="22"/>
        </w:rPr>
        <w:t>that TTY-based devices must be capable of</w:t>
      </w:r>
      <w:r>
        <w:rPr>
          <w:szCs w:val="22"/>
        </w:rPr>
        <w:t xml:space="preserve"> </w:t>
      </w:r>
      <w:r w:rsidRPr="00584DF7">
        <w:rPr>
          <w:szCs w:val="22"/>
        </w:rPr>
        <w:t xml:space="preserve">communicating in two coding formats: Baudot and ASCII. </w:t>
      </w:r>
      <w:r>
        <w:rPr>
          <w:szCs w:val="22"/>
        </w:rPr>
        <w:t xml:space="preserve"> At the time</w:t>
      </w:r>
      <w:r w:rsidRPr="00584DF7">
        <w:rPr>
          <w:szCs w:val="22"/>
        </w:rPr>
        <w:t>, ASCII was</w:t>
      </w:r>
      <w:r>
        <w:rPr>
          <w:szCs w:val="22"/>
        </w:rPr>
        <w:t xml:space="preserve"> </w:t>
      </w:r>
      <w:r w:rsidRPr="00584DF7">
        <w:rPr>
          <w:szCs w:val="22"/>
        </w:rPr>
        <w:t xml:space="preserve">broadly </w:t>
      </w:r>
      <w:r>
        <w:rPr>
          <w:szCs w:val="22"/>
        </w:rPr>
        <w:t>believed to be</w:t>
      </w:r>
      <w:r w:rsidRPr="00584DF7">
        <w:rPr>
          <w:szCs w:val="22"/>
        </w:rPr>
        <w:t xml:space="preserve"> “a superior technology” for TTY transmission.</w:t>
      </w:r>
      <w:r>
        <w:rPr>
          <w:szCs w:val="22"/>
        </w:rPr>
        <w:t xml:space="preserve"> </w:t>
      </w:r>
      <w:r w:rsidRPr="00584DF7">
        <w:rPr>
          <w:szCs w:val="22"/>
        </w:rPr>
        <w:t xml:space="preserve"> In fact, it was estimated that ASCII</w:t>
      </w:r>
      <w:r>
        <w:rPr>
          <w:szCs w:val="22"/>
        </w:rPr>
        <w:t xml:space="preserve"> </w:t>
      </w:r>
      <w:r w:rsidRPr="00584DF7">
        <w:rPr>
          <w:szCs w:val="22"/>
        </w:rPr>
        <w:t xml:space="preserve">would transmit words at twice the speed per minute. </w:t>
      </w:r>
      <w:r>
        <w:rPr>
          <w:szCs w:val="22"/>
        </w:rPr>
        <w:t xml:space="preserve"> </w:t>
      </w:r>
      <w:r w:rsidRPr="00584DF7">
        <w:rPr>
          <w:szCs w:val="22"/>
        </w:rPr>
        <w:t xml:space="preserve">The market delivered a different verdict. </w:t>
      </w:r>
      <w:r>
        <w:rPr>
          <w:szCs w:val="22"/>
        </w:rPr>
        <w:t xml:space="preserve"> </w:t>
      </w:r>
      <w:r w:rsidRPr="00584DF7">
        <w:rPr>
          <w:szCs w:val="22"/>
        </w:rPr>
        <w:t>It turned</w:t>
      </w:r>
      <w:r>
        <w:rPr>
          <w:szCs w:val="22"/>
        </w:rPr>
        <w:t xml:space="preserve"> </w:t>
      </w:r>
      <w:r w:rsidRPr="00584DF7">
        <w:rPr>
          <w:szCs w:val="22"/>
        </w:rPr>
        <w:t>out that ASCII was more Betamax than VHS.</w:t>
      </w:r>
      <w:r w:rsidRPr="008608B7">
        <w:rPr>
          <w:szCs w:val="22"/>
        </w:rPr>
        <w:t xml:space="preserve"> </w:t>
      </w:r>
    </w:p>
    <w:p w:rsidR="004F623B" w:rsidP="004F623B" w14:paraId="2FA2C351" w14:textId="77777777">
      <w:pPr>
        <w:spacing w:after="120"/>
        <w:ind w:firstLine="720"/>
        <w:rPr>
          <w:szCs w:val="22"/>
        </w:rPr>
      </w:pPr>
      <w:r>
        <w:rPr>
          <w:szCs w:val="22"/>
        </w:rPr>
        <w:t>Last year, i</w:t>
      </w:r>
      <w:r w:rsidRPr="00F439A4">
        <w:rPr>
          <w:szCs w:val="22"/>
        </w:rPr>
        <w:t>n response to a petition seeking relief from the ASCII requirement, which received widespread support including from a coalition of accessibility advocacy organizations, the Commission propose</w:t>
      </w:r>
      <w:r>
        <w:rPr>
          <w:szCs w:val="22"/>
        </w:rPr>
        <w:t>d</w:t>
      </w:r>
      <w:r w:rsidRPr="00F439A4">
        <w:rPr>
          <w:szCs w:val="22"/>
        </w:rPr>
        <w:t xml:space="preserve"> removing the ASCII requirement from our TTY rules.</w:t>
      </w:r>
      <w:r>
        <w:rPr>
          <w:szCs w:val="22"/>
        </w:rPr>
        <w:t xml:space="preserve">  The record from that inquiry confirmed what we thought to be true.  </w:t>
      </w:r>
      <w:r w:rsidRPr="00584DF7">
        <w:rPr>
          <w:szCs w:val="22"/>
        </w:rPr>
        <w:t>ASCII calls account for approximately 0.01% of TTY-based communications.</w:t>
      </w:r>
      <w:r>
        <w:rPr>
          <w:szCs w:val="22"/>
        </w:rPr>
        <w:t xml:space="preserve">  Yet, the </w:t>
      </w:r>
      <w:r w:rsidRPr="00584DF7">
        <w:rPr>
          <w:szCs w:val="22"/>
        </w:rPr>
        <w:t>FCC’s rule</w:t>
      </w:r>
      <w:r>
        <w:rPr>
          <w:szCs w:val="22"/>
        </w:rPr>
        <w:t>s</w:t>
      </w:r>
      <w:r w:rsidRPr="00584DF7">
        <w:rPr>
          <w:szCs w:val="22"/>
        </w:rPr>
        <w:t xml:space="preserve"> impose </w:t>
      </w:r>
      <w:r>
        <w:rPr>
          <w:szCs w:val="22"/>
        </w:rPr>
        <w:t xml:space="preserve">significant </w:t>
      </w:r>
      <w:r w:rsidRPr="00584DF7">
        <w:rPr>
          <w:szCs w:val="22"/>
        </w:rPr>
        <w:t>costs on TR</w:t>
      </w:r>
      <w:r>
        <w:rPr>
          <w:szCs w:val="22"/>
        </w:rPr>
        <w:t xml:space="preserve">S </w:t>
      </w:r>
      <w:r w:rsidRPr="00584DF7">
        <w:rPr>
          <w:szCs w:val="22"/>
        </w:rPr>
        <w:t>providers to maintain ASCII-compatible hardware and software systems</w:t>
      </w:r>
      <w:r>
        <w:rPr>
          <w:szCs w:val="22"/>
        </w:rPr>
        <w:t xml:space="preserve">.  </w:t>
      </w:r>
    </w:p>
    <w:p w:rsidR="004F623B" w:rsidP="004F623B" w14:paraId="122BC7FB" w14:textId="77777777">
      <w:pPr>
        <w:spacing w:after="120"/>
        <w:ind w:firstLine="720"/>
        <w:rPr>
          <w:szCs w:val="22"/>
        </w:rPr>
      </w:pPr>
      <w:r>
        <w:rPr>
          <w:szCs w:val="22"/>
        </w:rPr>
        <w:t>Today, we voted to eliminate this obsolete rule, freeing up dollars for providers to invest in other accessibility initiatives that will better serve individuals with disabilities.</w:t>
      </w:r>
    </w:p>
    <w:p w:rsidR="004F623B" w:rsidRPr="000F0349" w:rsidP="004F623B" w14:paraId="34A39B96" w14:textId="77777777">
      <w:pPr>
        <w:spacing w:after="120"/>
        <w:ind w:firstLine="720"/>
        <w:rPr>
          <w:szCs w:val="22"/>
        </w:rPr>
      </w:pPr>
      <w:r w:rsidRPr="00584DF7">
        <w:rPr>
          <w:szCs w:val="22"/>
        </w:rPr>
        <w:t>Thank you to the staff who worked on this item, including</w:t>
      </w:r>
      <w:r>
        <w:rPr>
          <w:szCs w:val="22"/>
        </w:rPr>
        <w:t xml:space="preserve"> </w:t>
      </w:r>
      <w:r w:rsidRPr="00F00D7C">
        <w:rPr>
          <w:szCs w:val="22"/>
        </w:rPr>
        <w:t xml:space="preserve">Eduard Bartholme, Lisa Edwards, Michael Scott, </w:t>
      </w:r>
      <w:r>
        <w:rPr>
          <w:szCs w:val="22"/>
        </w:rPr>
        <w:t xml:space="preserve">and </w:t>
      </w:r>
      <w:r w:rsidRPr="00F00D7C">
        <w:rPr>
          <w:szCs w:val="22"/>
        </w:rPr>
        <w:t>Joshua Mendelsohn</w:t>
      </w:r>
      <w:r>
        <w:rPr>
          <w:szCs w:val="22"/>
        </w:rPr>
        <w:t xml:space="preserve"> a</w:t>
      </w:r>
      <w:r w:rsidRPr="00F00D7C">
        <w:rPr>
          <w:szCs w:val="22"/>
        </w:rPr>
        <w:t>s well as staff from the Offices of Communications Business Opportunities, Economics and Analytics, Enforcement Bureau, General Counsel, and Managing Director.</w:t>
      </w:r>
    </w:p>
    <w:p w:rsidR="00412FC5" w:rsidRPr="00AA1C10" w:rsidP="00AA1C10" w14:paraId="0451589B" w14:textId="77777777">
      <w:pPr>
        <w:spacing w:after="120"/>
      </w:pPr>
    </w:p>
    <w:sectPr w:rsidSect="0055614C">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D386B" w14:paraId="7F31C98E" w14:textId="77777777">
      <w:pPr>
        <w:spacing w:line="20" w:lineRule="exact"/>
      </w:pPr>
    </w:p>
  </w:endnote>
  <w:endnote w:type="continuationSeparator" w:id="1">
    <w:p w:rsidR="002D386B" w14:paraId="255116DD" w14:textId="77777777">
      <w:r>
        <w:t xml:space="preserve"> </w:t>
      </w:r>
    </w:p>
  </w:endnote>
  <w:endnote w:type="continuationNotice" w:id="2">
    <w:p w:rsidR="002D386B" w14:paraId="6112A015"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6B492315"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6FD3C74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308" w14:paraId="69ECF08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D25FB5" w14:paraId="41D50320" w14:textId="77777777">
    <w:pPr>
      <w:suppressAutoHyphens/>
      <w:spacing w:line="227"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40CF7F16"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D386B" w14:paraId="32D03BB1" w14:textId="77777777">
      <w:r>
        <w:separator/>
      </w:r>
    </w:p>
  </w:footnote>
  <w:footnote w:type="continuationSeparator" w:id="1">
    <w:p w:rsidR="002D386B" w:rsidP="00C721AC" w14:paraId="75575923" w14:textId="77777777">
      <w:pPr>
        <w:spacing w:before="120"/>
        <w:rPr>
          <w:sz w:val="20"/>
        </w:rPr>
      </w:pPr>
      <w:r>
        <w:rPr>
          <w:sz w:val="20"/>
        </w:rPr>
        <w:t xml:space="preserve">(Continued from previous page)  </w:t>
      </w:r>
      <w:r>
        <w:rPr>
          <w:sz w:val="20"/>
        </w:rPr>
        <w:separator/>
      </w:r>
    </w:p>
  </w:footnote>
  <w:footnote w:type="continuationNotice" w:id="2">
    <w:p w:rsidR="002D386B" w:rsidP="00C721AC" w14:paraId="2A00FF1F" w14:textId="77777777">
      <w:pPr>
        <w:jc w:val="right"/>
        <w:rPr>
          <w:sz w:val="20"/>
        </w:rPr>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0884CF1E" w14:textId="77777777">
    <w:pPr>
      <w:pStyle w:val="Header"/>
      <w:rPr>
        <w:b w:val="0"/>
      </w:rPr>
    </w:pPr>
    <w:r>
      <w:tab/>
      <w:t>Federal Communications Commission</w:t>
    </w:r>
    <w:r>
      <w:tab/>
    </w:r>
    <w:r w:rsidR="0028301F">
      <w:fldChar w:fldCharType="begin"/>
    </w:r>
    <w:r w:rsidR="0028301F">
      <w:instrText xml:space="preserve"> MACROBUTTON  AcceptAllChangesShown "FCC  XX-XXX" </w:instrText>
    </w:r>
    <w:r w:rsidR="0028301F">
      <w:fldChar w:fldCharType="end"/>
    </w:r>
  </w:p>
  <w:p w:rsidR="00D25FB5" w14:paraId="6A0A75DB" w14:textId="77777777">
    <w:pPr>
      <w:tabs>
        <w:tab w:val="left" w:pos="-720"/>
      </w:tabs>
      <w:suppressAutoHyphens/>
      <w:spacing w:line="19" w:lineRule="exact"/>
      <w:rPr>
        <w:spacing w:val="-2"/>
      </w:rPr>
    </w:pPr>
    <w:r>
      <w:rPr>
        <w:noProof/>
      </w:rPr>
      <w:pict>
        <v:rect id="Rectangle 1" o:spid="_x0000_s2049" style="width:468pt;height:0.95pt;margin-top:0;margin-left:0;mso-position-horizontal-relative:margin;position:absolute;visibility:visible;z-index:-251658240" o:allowincell="f" fillcolor="black" stroked="f" strokeweight="0.05pt">
          <w10:wrap anchorx="margin"/>
        </v:rect>
      </w:pict>
    </w:r>
  </w:p>
  <w:p w:rsidR="00D25FB5" w14:paraId="2E584919"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3F53B4B7" w14:textId="5444EE2F">
    <w:pPr>
      <w:pStyle w:val="Header"/>
      <w:rPr>
        <w:b w:val="0"/>
      </w:rPr>
    </w:pPr>
    <w:r>
      <w:rPr>
        <w:noProof/>
      </w:rPr>
      <w:pict>
        <v:rect id="Rectangle 3" o:spid="_x0000_s2050" style="width:468pt;height:0.95pt;margin-top:12.65pt;margin-left:0.6pt;mso-position-horizontal-relative:margin;position:absolute;visibility:visible;z-index:-251657216" o:allowincell="f" fillcolor="black" stroked="f" strokeweight="0.05pt">
          <w10:wrap anchorx="margin"/>
        </v:rect>
      </w:pict>
    </w:r>
    <w:r>
      <w:tab/>
      <w:t>Federal Communications Commission</w:t>
    </w:r>
    <w:r>
      <w:tab/>
    </w:r>
    <w:r w:rsidR="004F623B">
      <w:rPr>
        <w:spacing w:val="-2"/>
      </w:rPr>
      <w:t>FCC 26-56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2">
    <w:nsid w:val="248246F3"/>
    <w:multiLevelType w:val="singleLevel"/>
    <w:tmpl w:val="B1F45678"/>
    <w:lvl w:ilvl="0">
      <w:start w:val="1"/>
      <w:numFmt w:val="decimal"/>
      <w:lvlText w:val="%1."/>
      <w:lvlJc w:val="left"/>
      <w:pPr>
        <w:tabs>
          <w:tab w:val="num" w:pos="1080"/>
        </w:tabs>
        <w:ind w:left="0" w:firstLine="720"/>
      </w:pPr>
    </w:lvl>
  </w:abstractNum>
  <w:abstractNum w:abstractNumId="3">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61182925"/>
    <w:multiLevelType w:val="singleLevel"/>
    <w:tmpl w:val="A9EE9842"/>
    <w:lvl w:ilvl="0">
      <w:start w:val="1"/>
      <w:numFmt w:val="decimal"/>
      <w:pStyle w:val="ParaNum"/>
      <w:lvlText w:val="%1."/>
      <w:lvlJc w:val="left"/>
      <w:pPr>
        <w:tabs>
          <w:tab w:val="num" w:pos="1080"/>
        </w:tabs>
        <w:ind w:left="0" w:firstLine="720"/>
      </w:pPr>
    </w:lvl>
  </w:abstractNum>
  <w:num w:numId="1" w16cid:durableId="783118703">
    <w:abstractNumId w:val="1"/>
  </w:num>
  <w:num w:numId="2" w16cid:durableId="2113746249">
    <w:abstractNumId w:val="5"/>
  </w:num>
  <w:num w:numId="3" w16cid:durableId="1656639808">
    <w:abstractNumId w:val="3"/>
  </w:num>
  <w:num w:numId="4" w16cid:durableId="1188518138">
    <w:abstractNumId w:val="4"/>
  </w:num>
  <w:num w:numId="5" w16cid:durableId="1141536023">
    <w:abstractNumId w:val="2"/>
  </w:num>
  <w:num w:numId="6" w16cid:durableId="1103113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C10"/>
    <w:rsid w:val="00036039"/>
    <w:rsid w:val="00037F90"/>
    <w:rsid w:val="000875BF"/>
    <w:rsid w:val="00096D8C"/>
    <w:rsid w:val="000C0B65"/>
    <w:rsid w:val="000E05FE"/>
    <w:rsid w:val="000E3D42"/>
    <w:rsid w:val="000F0349"/>
    <w:rsid w:val="00106E9F"/>
    <w:rsid w:val="00122BD5"/>
    <w:rsid w:val="00133F79"/>
    <w:rsid w:val="00194A66"/>
    <w:rsid w:val="001D6BCF"/>
    <w:rsid w:val="001E01CA"/>
    <w:rsid w:val="00275CF5"/>
    <w:rsid w:val="0028301F"/>
    <w:rsid w:val="00285017"/>
    <w:rsid w:val="002A2D2E"/>
    <w:rsid w:val="002C00E8"/>
    <w:rsid w:val="002D386B"/>
    <w:rsid w:val="00343749"/>
    <w:rsid w:val="003660ED"/>
    <w:rsid w:val="003B0550"/>
    <w:rsid w:val="003B694F"/>
    <w:rsid w:val="003F171C"/>
    <w:rsid w:val="00412FC5"/>
    <w:rsid w:val="00422276"/>
    <w:rsid w:val="004242F1"/>
    <w:rsid w:val="00445A00"/>
    <w:rsid w:val="00451B0F"/>
    <w:rsid w:val="004C2EE3"/>
    <w:rsid w:val="004E4A22"/>
    <w:rsid w:val="004F623B"/>
    <w:rsid w:val="00511968"/>
    <w:rsid w:val="0055614C"/>
    <w:rsid w:val="00566D06"/>
    <w:rsid w:val="00584DF7"/>
    <w:rsid w:val="005E14C2"/>
    <w:rsid w:val="00607BA5"/>
    <w:rsid w:val="0061180A"/>
    <w:rsid w:val="00626EB6"/>
    <w:rsid w:val="00655D03"/>
    <w:rsid w:val="00683388"/>
    <w:rsid w:val="00683F84"/>
    <w:rsid w:val="00686C21"/>
    <w:rsid w:val="006A6A81"/>
    <w:rsid w:val="006F7393"/>
    <w:rsid w:val="0070224F"/>
    <w:rsid w:val="007115F7"/>
    <w:rsid w:val="00785689"/>
    <w:rsid w:val="0079754B"/>
    <w:rsid w:val="007A1E6D"/>
    <w:rsid w:val="007B0EB2"/>
    <w:rsid w:val="00810B6F"/>
    <w:rsid w:val="00822CE0"/>
    <w:rsid w:val="00841AB1"/>
    <w:rsid w:val="008608B7"/>
    <w:rsid w:val="008C68F1"/>
    <w:rsid w:val="00921803"/>
    <w:rsid w:val="00926503"/>
    <w:rsid w:val="009726D8"/>
    <w:rsid w:val="009D7308"/>
    <w:rsid w:val="009F76DB"/>
    <w:rsid w:val="00A32C3B"/>
    <w:rsid w:val="00A45F4F"/>
    <w:rsid w:val="00A600A9"/>
    <w:rsid w:val="00AA1C10"/>
    <w:rsid w:val="00AA55B7"/>
    <w:rsid w:val="00AA5B9E"/>
    <w:rsid w:val="00AB2407"/>
    <w:rsid w:val="00AB53DF"/>
    <w:rsid w:val="00B07E5C"/>
    <w:rsid w:val="00B811F7"/>
    <w:rsid w:val="00BA5DC6"/>
    <w:rsid w:val="00BA6196"/>
    <w:rsid w:val="00BC6D8C"/>
    <w:rsid w:val="00C34006"/>
    <w:rsid w:val="00C36B4C"/>
    <w:rsid w:val="00C426B1"/>
    <w:rsid w:val="00C66160"/>
    <w:rsid w:val="00C721AC"/>
    <w:rsid w:val="00C90D6A"/>
    <w:rsid w:val="00CA247E"/>
    <w:rsid w:val="00CA6D21"/>
    <w:rsid w:val="00CC72B6"/>
    <w:rsid w:val="00CD5B0E"/>
    <w:rsid w:val="00D0218D"/>
    <w:rsid w:val="00D25FB5"/>
    <w:rsid w:val="00D44223"/>
    <w:rsid w:val="00DA2529"/>
    <w:rsid w:val="00DB130A"/>
    <w:rsid w:val="00DB2EBB"/>
    <w:rsid w:val="00DC10A1"/>
    <w:rsid w:val="00DC655F"/>
    <w:rsid w:val="00DD0B59"/>
    <w:rsid w:val="00DD7EBD"/>
    <w:rsid w:val="00DF62B6"/>
    <w:rsid w:val="00E07225"/>
    <w:rsid w:val="00E5409F"/>
    <w:rsid w:val="00EE6488"/>
    <w:rsid w:val="00F00D7C"/>
    <w:rsid w:val="00F021FA"/>
    <w:rsid w:val="00F439A4"/>
    <w:rsid w:val="00F62E97"/>
    <w:rsid w:val="00F64209"/>
    <w:rsid w:val="00F93B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78FA24A"/>
  <w15:chartTrackingRefBased/>
  <w15:docId w15:val="{9B637FA1-F0EE-4F9E-82E9-FE3C156C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623B"/>
    <w:pPr>
      <w:widowControl w:val="0"/>
    </w:pPr>
    <w:rPr>
      <w:snapToGrid w:val="0"/>
      <w:kern w:val="28"/>
      <w:sz w:val="22"/>
    </w:rPr>
  </w:style>
  <w:style w:type="paragraph" w:styleId="Heading1">
    <w:name w:val="heading 1"/>
    <w:basedOn w:val="Normal"/>
    <w:next w:val="ParaNum"/>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rsid w:val="007A1E6D"/>
    <w:pPr>
      <w:keepNext/>
      <w:numPr>
        <w:ilvl w:val="1"/>
        <w:numId w:val="3"/>
      </w:numPr>
      <w:spacing w:after="120"/>
      <w:outlineLvl w:val="1"/>
    </w:pPr>
    <w:rPr>
      <w:b/>
    </w:rPr>
  </w:style>
  <w:style w:type="paragraph" w:styleId="Heading3">
    <w:name w:val="heading 3"/>
    <w:basedOn w:val="Normal"/>
    <w:next w:val="ParaNum"/>
    <w:qFormat/>
    <w:rsid w:val="00BA6196"/>
    <w:pPr>
      <w:keepNext/>
      <w:numPr>
        <w:ilvl w:val="2"/>
        <w:numId w:val="3"/>
      </w:numPr>
      <w:tabs>
        <w:tab w:val="left" w:pos="2160"/>
      </w:tabs>
      <w:spacing w:after="120"/>
      <w:outlineLvl w:val="2"/>
    </w:pPr>
    <w:rPr>
      <w:b/>
    </w:rPr>
  </w:style>
  <w:style w:type="paragraph" w:styleId="Heading4">
    <w:name w:val="heading 4"/>
    <w:basedOn w:val="Normal"/>
    <w:next w:val="ParaNum"/>
    <w:qFormat/>
    <w:rsid w:val="00C426B1"/>
    <w:pPr>
      <w:keepNext/>
      <w:numPr>
        <w:ilvl w:val="3"/>
        <w:numId w:val="3"/>
      </w:numPr>
      <w:tabs>
        <w:tab w:val="left" w:pos="2880"/>
      </w:tabs>
      <w:spacing w:after="120"/>
      <w:outlineLvl w:val="3"/>
    </w:pPr>
    <w:rPr>
      <w:b/>
    </w:rPr>
  </w:style>
  <w:style w:type="paragraph" w:styleId="Heading5">
    <w:name w:val="heading 5"/>
    <w:basedOn w:val="Normal"/>
    <w:next w:val="ParaNum"/>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rsid w:val="00036039"/>
    <w:pPr>
      <w:numPr>
        <w:ilvl w:val="5"/>
        <w:numId w:val="3"/>
      </w:numPr>
      <w:tabs>
        <w:tab w:val="left" w:pos="4320"/>
      </w:tabs>
      <w:spacing w:after="120"/>
      <w:outlineLvl w:val="5"/>
    </w:pPr>
    <w:rPr>
      <w:b/>
    </w:rPr>
  </w:style>
  <w:style w:type="paragraph" w:styleId="Heading7">
    <w:name w:val="heading 7"/>
    <w:basedOn w:val="Normal"/>
    <w:next w:val="ParaNum"/>
    <w:qFormat/>
    <w:rsid w:val="00036039"/>
    <w:pPr>
      <w:numPr>
        <w:ilvl w:val="6"/>
        <w:numId w:val="3"/>
      </w:numPr>
      <w:tabs>
        <w:tab w:val="left" w:pos="5040"/>
      </w:tabs>
      <w:spacing w:after="120"/>
      <w:ind w:left="5040" w:hanging="720"/>
      <w:outlineLvl w:val="6"/>
    </w:pPr>
    <w:rPr>
      <w:b/>
    </w:rPr>
  </w:style>
  <w:style w:type="paragraph" w:styleId="Heading8">
    <w:name w:val="heading 8"/>
    <w:basedOn w:val="Normal"/>
    <w:next w:val="ParaNum"/>
    <w:qFormat/>
    <w:rsid w:val="001E01CA"/>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rsid w:val="001E01CA"/>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rsid w:val="000E3D42"/>
    <w:pPr>
      <w:spacing w:after="120"/>
    </w:pPr>
  </w:style>
  <w:style w:type="character" w:styleId="FootnoteReference">
    <w:name w:val="footnote reference"/>
    <w:rsid w:val="00A32C3B"/>
    <w:rPr>
      <w:rFonts w:ascii="Times New Roman" w:hAnsi="Times New Roman"/>
      <w:dstrike w:val="0"/>
      <w:color w:val="auto"/>
      <w:sz w:val="20"/>
      <w:vertAlign w:val="superscript"/>
    </w:rPr>
  </w:style>
  <w:style w:type="paragraph" w:styleId="TOC1">
    <w:name w:val="toc 1"/>
    <w:basedOn w:val="Normal"/>
    <w:next w:val="Normal"/>
    <w:semiHidden/>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ichael.Scott\FCC\FCC%20-%20NAL\Form\OS%20Process\Legacy%20OS%20Template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