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46AED" w:rsidP="003C0F4F" w14:paraId="1363472C" w14:textId="77777777">
      <w:pPr>
        <w:widowControl/>
        <w:jc w:val="center"/>
        <w:rPr>
          <w:b/>
          <w:color w:val="000000" w:themeColor="text1"/>
          <w:szCs w:val="22"/>
        </w:rPr>
      </w:pPr>
    </w:p>
    <w:p w:rsidR="00CB3253" w:rsidRPr="00E92283" w:rsidP="003C0F4F" w14:paraId="060BBBC0" w14:textId="2BE88C83">
      <w:pPr>
        <w:widowControl/>
        <w:jc w:val="center"/>
        <w:rPr>
          <w:b/>
          <w:color w:val="000000" w:themeColor="text1"/>
          <w:szCs w:val="22"/>
        </w:rPr>
      </w:pPr>
      <w:r w:rsidRPr="00E92283">
        <w:rPr>
          <w:b/>
          <w:color w:val="000000" w:themeColor="text1"/>
          <w:szCs w:val="22"/>
        </w:rPr>
        <w:t>Before the</w:t>
      </w:r>
    </w:p>
    <w:p w:rsidR="00CB3253" w:rsidRPr="00E92283" w:rsidP="003C0F4F" w14:paraId="0B2E6DC6" w14:textId="77777777">
      <w:pPr>
        <w:pStyle w:val="StyleBoldCentered"/>
        <w:widowControl/>
        <w:rPr>
          <w:rFonts w:ascii="Times New Roman" w:hAnsi="Times New Roman"/>
          <w:color w:val="000000" w:themeColor="text1"/>
        </w:rPr>
      </w:pPr>
      <w:r w:rsidRPr="00E92283">
        <w:rPr>
          <w:rFonts w:ascii="Times New Roman" w:hAnsi="Times New Roman"/>
          <w:color w:val="000000" w:themeColor="text1"/>
        </w:rPr>
        <w:t>F</w:t>
      </w:r>
      <w:r w:rsidRPr="00E92283">
        <w:rPr>
          <w:rFonts w:ascii="Times New Roman" w:hAnsi="Times New Roman"/>
          <w:caps w:val="0"/>
          <w:color w:val="000000" w:themeColor="text1"/>
        </w:rPr>
        <w:t>ederal Communications Commission</w:t>
      </w:r>
    </w:p>
    <w:p w:rsidR="00CB3253" w:rsidRPr="00F8719D" w:rsidP="003C0F4F" w14:paraId="0F36012D" w14:textId="4EAD8F63">
      <w:pPr>
        <w:widowControl/>
        <w:jc w:val="center"/>
        <w:rPr>
          <w:b/>
          <w:color w:val="000000" w:themeColor="text1"/>
          <w:szCs w:val="22"/>
        </w:rPr>
      </w:pPr>
      <w:r w:rsidRPr="00E92283">
        <w:rPr>
          <w:b/>
          <w:color w:val="000000" w:themeColor="text1"/>
          <w:szCs w:val="22"/>
        </w:rPr>
        <w:t>Washington, D</w:t>
      </w:r>
      <w:r w:rsidRPr="00F8719D">
        <w:rPr>
          <w:b/>
          <w:color w:val="000000" w:themeColor="text1"/>
          <w:szCs w:val="22"/>
        </w:rPr>
        <w:t xml:space="preserve">C 20554 </w:t>
      </w:r>
    </w:p>
    <w:tbl>
      <w:tblPr>
        <w:tblW w:w="9486" w:type="dxa"/>
        <w:tblLayout w:type="fixed"/>
        <w:tblLook w:val="0000"/>
      </w:tblPr>
      <w:tblGrid>
        <w:gridCol w:w="4608"/>
        <w:gridCol w:w="630"/>
        <w:gridCol w:w="4248"/>
      </w:tblGrid>
      <w:tr w14:paraId="2447F6D9" w14:textId="77777777" w:rsidTr="00F15904">
        <w:tblPrEx>
          <w:tblW w:w="9486" w:type="dxa"/>
          <w:tblLayout w:type="fixed"/>
          <w:tblLook w:val="0000"/>
        </w:tblPrEx>
        <w:tc>
          <w:tcPr>
            <w:tcW w:w="4608" w:type="dxa"/>
          </w:tcPr>
          <w:p w:rsidR="00CB3253" w:rsidRPr="005B744E" w:rsidP="003C0F4F" w14:paraId="25D7D053" w14:textId="77777777">
            <w:pPr>
              <w:widowControl/>
              <w:tabs>
                <w:tab w:val="center" w:pos="4680"/>
              </w:tabs>
              <w:suppressAutoHyphens/>
              <w:rPr>
                <w:color w:val="000000" w:themeColor="text1"/>
                <w:spacing w:val="-2"/>
                <w:szCs w:val="22"/>
              </w:rPr>
            </w:pPr>
          </w:p>
          <w:p w:rsidR="00CB3253" w:rsidRPr="005B744E" w:rsidP="003C0F4F" w14:paraId="635FC3BC" w14:textId="77777777">
            <w:pPr>
              <w:widowControl/>
              <w:tabs>
                <w:tab w:val="center" w:pos="4680"/>
              </w:tabs>
              <w:suppressAutoHyphens/>
              <w:rPr>
                <w:color w:val="000000" w:themeColor="text1"/>
                <w:spacing w:val="-2"/>
                <w:szCs w:val="22"/>
              </w:rPr>
            </w:pPr>
            <w:r w:rsidRPr="00F8719D">
              <w:rPr>
                <w:color w:val="000000" w:themeColor="text1"/>
                <w:spacing w:val="-2"/>
                <w:szCs w:val="22"/>
              </w:rPr>
              <w:t>In the Matter of</w:t>
            </w:r>
          </w:p>
          <w:p w:rsidR="00CB3253" w:rsidRPr="005B744E" w:rsidP="003C0F4F" w14:paraId="6BE4FD5A" w14:textId="77777777">
            <w:pPr>
              <w:widowControl/>
              <w:tabs>
                <w:tab w:val="center" w:pos="4680"/>
              </w:tabs>
              <w:suppressAutoHyphens/>
              <w:rPr>
                <w:color w:val="000000" w:themeColor="text1"/>
                <w:spacing w:val="-2"/>
                <w:szCs w:val="22"/>
              </w:rPr>
            </w:pPr>
          </w:p>
          <w:p w:rsidR="00CB3253" w:rsidRPr="005B744E" w:rsidP="003C0F4F" w14:paraId="4AD861C7" w14:textId="60DBBBA6">
            <w:pPr>
              <w:widowControl/>
              <w:tabs>
                <w:tab w:val="center" w:pos="4680"/>
              </w:tabs>
              <w:suppressAutoHyphens/>
              <w:rPr>
                <w:color w:val="000000" w:themeColor="text1"/>
                <w:spacing w:val="-2"/>
                <w:szCs w:val="22"/>
              </w:rPr>
            </w:pPr>
            <w:r>
              <w:rPr>
                <w:color w:val="000000" w:themeColor="text1"/>
                <w:spacing w:val="-2"/>
                <w:szCs w:val="22"/>
              </w:rPr>
              <w:t>Zhejiang Dahua Technology C</w:t>
            </w:r>
            <w:r w:rsidR="00E32B9C">
              <w:rPr>
                <w:color w:val="000000" w:themeColor="text1"/>
                <w:spacing w:val="-2"/>
                <w:szCs w:val="22"/>
              </w:rPr>
              <w:t>o., Ltd.</w:t>
            </w:r>
          </w:p>
          <w:p w:rsidR="00CB3253" w:rsidRPr="005B744E" w:rsidP="003C0F4F" w14:paraId="6A2BE156" w14:textId="77777777">
            <w:pPr>
              <w:widowControl/>
              <w:tabs>
                <w:tab w:val="center" w:pos="4680"/>
              </w:tabs>
              <w:suppressAutoHyphens/>
              <w:rPr>
                <w:color w:val="000000" w:themeColor="text1"/>
                <w:spacing w:val="-2"/>
                <w:szCs w:val="22"/>
              </w:rPr>
            </w:pPr>
          </w:p>
        </w:tc>
        <w:tc>
          <w:tcPr>
            <w:tcW w:w="630" w:type="dxa"/>
          </w:tcPr>
          <w:p w:rsidR="00CB3253" w:rsidRPr="005B744E" w:rsidP="003C0F4F" w14:paraId="30709C79" w14:textId="77777777">
            <w:pPr>
              <w:widowControl/>
              <w:tabs>
                <w:tab w:val="center" w:pos="4680"/>
              </w:tabs>
              <w:suppressAutoHyphens/>
              <w:rPr>
                <w:b/>
                <w:color w:val="000000" w:themeColor="text1"/>
                <w:spacing w:val="-2"/>
                <w:szCs w:val="22"/>
              </w:rPr>
            </w:pPr>
          </w:p>
          <w:p w:rsidR="00CB3253" w:rsidRPr="005B744E" w:rsidP="003C0F4F" w14:paraId="6B2FADF0" w14:textId="7D5A418B">
            <w:pPr>
              <w:widowControl/>
              <w:tabs>
                <w:tab w:val="center" w:pos="4680"/>
              </w:tabs>
              <w:suppressAutoHyphens/>
              <w:rPr>
                <w:b/>
                <w:color w:val="000000" w:themeColor="text1"/>
                <w:spacing w:val="-2"/>
                <w:szCs w:val="22"/>
              </w:rPr>
            </w:pPr>
            <w:r w:rsidRPr="00F8719D">
              <w:rPr>
                <w:b/>
                <w:color w:val="000000" w:themeColor="text1"/>
                <w:spacing w:val="-2"/>
                <w:szCs w:val="22"/>
              </w:rPr>
              <w:t>)</w:t>
            </w:r>
          </w:p>
          <w:p w:rsidR="00CB3253" w:rsidRPr="005B744E" w:rsidP="003C0F4F" w14:paraId="1F30C42E" w14:textId="08FA4F65">
            <w:pPr>
              <w:widowControl/>
              <w:tabs>
                <w:tab w:val="center" w:pos="4680"/>
              </w:tabs>
              <w:suppressAutoHyphens/>
              <w:rPr>
                <w:b/>
                <w:color w:val="000000" w:themeColor="text1"/>
                <w:spacing w:val="-2"/>
                <w:szCs w:val="22"/>
              </w:rPr>
            </w:pPr>
            <w:r w:rsidRPr="00F8719D">
              <w:rPr>
                <w:b/>
                <w:color w:val="000000" w:themeColor="text1"/>
                <w:spacing w:val="-2"/>
                <w:szCs w:val="22"/>
              </w:rPr>
              <w:t>)</w:t>
            </w:r>
          </w:p>
          <w:p w:rsidR="00CB3253" w:rsidRPr="005B744E" w:rsidP="003C0F4F" w14:paraId="2CE2D315" w14:textId="619813BA">
            <w:pPr>
              <w:widowControl/>
              <w:tabs>
                <w:tab w:val="center" w:pos="4680"/>
              </w:tabs>
              <w:suppressAutoHyphens/>
              <w:rPr>
                <w:b/>
                <w:color w:val="000000" w:themeColor="text1"/>
                <w:spacing w:val="-2"/>
                <w:szCs w:val="22"/>
              </w:rPr>
            </w:pPr>
            <w:r w:rsidRPr="00F8719D">
              <w:rPr>
                <w:b/>
                <w:color w:val="000000" w:themeColor="text1"/>
                <w:spacing w:val="-2"/>
                <w:szCs w:val="22"/>
              </w:rPr>
              <w:t>)</w:t>
            </w:r>
          </w:p>
          <w:p w:rsidR="00CB3253" w:rsidRPr="005B744E" w:rsidP="003C0F4F" w14:paraId="14C89337" w14:textId="1D0451AF">
            <w:pPr>
              <w:widowControl/>
              <w:tabs>
                <w:tab w:val="center" w:pos="4680"/>
              </w:tabs>
              <w:suppressAutoHyphens/>
              <w:rPr>
                <w:b/>
                <w:color w:val="000000" w:themeColor="text1"/>
                <w:spacing w:val="-2"/>
                <w:szCs w:val="22"/>
              </w:rPr>
            </w:pPr>
            <w:r w:rsidRPr="00F8719D">
              <w:rPr>
                <w:b/>
                <w:color w:val="000000" w:themeColor="text1"/>
                <w:spacing w:val="-2"/>
                <w:szCs w:val="22"/>
              </w:rPr>
              <w:t>)</w:t>
            </w:r>
          </w:p>
          <w:p w:rsidR="00CB3253" w:rsidRPr="005B744E" w:rsidP="003C0F4F" w14:paraId="6DC45C80" w14:textId="26C813F0">
            <w:pPr>
              <w:widowControl/>
              <w:tabs>
                <w:tab w:val="center" w:pos="4680"/>
              </w:tabs>
              <w:suppressAutoHyphens/>
              <w:rPr>
                <w:b/>
                <w:color w:val="000000" w:themeColor="text1"/>
                <w:spacing w:val="-2"/>
                <w:szCs w:val="22"/>
              </w:rPr>
            </w:pPr>
            <w:r w:rsidRPr="00F8719D">
              <w:rPr>
                <w:b/>
                <w:color w:val="000000" w:themeColor="text1"/>
                <w:spacing w:val="-2"/>
                <w:szCs w:val="22"/>
              </w:rPr>
              <w:t>)</w:t>
            </w:r>
          </w:p>
          <w:p w:rsidR="00CB3253" w:rsidRPr="005B744E" w:rsidP="003C0F4F" w14:paraId="211D8B32" w14:textId="77777777">
            <w:pPr>
              <w:widowControl/>
              <w:tabs>
                <w:tab w:val="center" w:pos="4680"/>
              </w:tabs>
              <w:suppressAutoHyphens/>
              <w:rPr>
                <w:b/>
                <w:color w:val="000000" w:themeColor="text1"/>
                <w:spacing w:val="-2"/>
                <w:szCs w:val="22"/>
              </w:rPr>
            </w:pPr>
            <w:r w:rsidRPr="00F8719D">
              <w:rPr>
                <w:b/>
                <w:color w:val="000000" w:themeColor="text1"/>
                <w:spacing w:val="-2"/>
                <w:szCs w:val="22"/>
              </w:rPr>
              <w:t xml:space="preserve"> </w:t>
            </w:r>
          </w:p>
        </w:tc>
        <w:tc>
          <w:tcPr>
            <w:tcW w:w="4248" w:type="dxa"/>
          </w:tcPr>
          <w:p w:rsidR="00CB3253" w:rsidRPr="005B744E" w:rsidP="003C0F4F" w14:paraId="0571B7D6" w14:textId="77777777">
            <w:pPr>
              <w:widowControl/>
              <w:tabs>
                <w:tab w:val="center" w:pos="4680"/>
              </w:tabs>
              <w:suppressAutoHyphens/>
              <w:rPr>
                <w:color w:val="000000" w:themeColor="text1"/>
                <w:spacing w:val="-2"/>
                <w:szCs w:val="22"/>
              </w:rPr>
            </w:pPr>
          </w:p>
          <w:p w:rsidR="00525F64" w:rsidRPr="005B744E" w:rsidP="003C0F4F" w14:paraId="76A648D5" w14:textId="77777777">
            <w:pPr>
              <w:widowControl/>
              <w:rPr>
                <w:color w:val="000000" w:themeColor="text1"/>
                <w:spacing w:val="-2"/>
                <w:szCs w:val="22"/>
              </w:rPr>
            </w:pPr>
            <w:r w:rsidRPr="00F8719D">
              <w:rPr>
                <w:color w:val="000000" w:themeColor="text1"/>
                <w:spacing w:val="-2"/>
                <w:szCs w:val="22"/>
              </w:rPr>
              <w:t xml:space="preserve">                </w:t>
            </w:r>
          </w:p>
          <w:p w:rsidR="00525F64" w:rsidRPr="005B744E" w:rsidP="003C0F4F" w14:paraId="64450724" w14:textId="77777777">
            <w:pPr>
              <w:widowControl/>
              <w:rPr>
                <w:color w:val="000000" w:themeColor="text1"/>
                <w:spacing w:val="-2"/>
                <w:szCs w:val="22"/>
              </w:rPr>
            </w:pPr>
          </w:p>
          <w:p w:rsidR="00CB3253" w:rsidRPr="00F8719D" w:rsidP="003C0F4F" w14:paraId="472FE258" w14:textId="34C3E3B7">
            <w:pPr>
              <w:widowControl/>
              <w:ind w:left="522"/>
              <w:rPr>
                <w:color w:val="000000" w:themeColor="text1"/>
                <w:spacing w:val="-2"/>
                <w:szCs w:val="22"/>
              </w:rPr>
            </w:pPr>
            <w:r w:rsidRPr="00F8719D">
              <w:rPr>
                <w:color w:val="000000" w:themeColor="text1"/>
                <w:spacing w:val="-2"/>
                <w:szCs w:val="22"/>
              </w:rPr>
              <w:t>File No.</w:t>
            </w:r>
            <w:r w:rsidRPr="00F8719D">
              <w:rPr>
                <w:color w:val="000000" w:themeColor="text1"/>
                <w:spacing w:val="-2"/>
                <w:szCs w:val="22"/>
              </w:rPr>
              <w:t xml:space="preserve">:  </w:t>
            </w:r>
            <w:r w:rsidRPr="00D92015" w:rsidR="00D92015">
              <w:rPr>
                <w:color w:val="000000" w:themeColor="text1"/>
                <w:spacing w:val="-2"/>
                <w:szCs w:val="22"/>
              </w:rPr>
              <w:t>EB</w:t>
            </w:r>
            <w:r w:rsidRPr="00D92015" w:rsidR="00D92015">
              <w:rPr>
                <w:color w:val="000000" w:themeColor="text1"/>
                <w:spacing w:val="-2"/>
                <w:szCs w:val="22"/>
              </w:rPr>
              <w:t>-SED-25-00038004</w:t>
            </w:r>
          </w:p>
          <w:p w:rsidR="00CB3253" w:rsidRPr="005B744E" w:rsidP="003C0F4F" w14:paraId="130B23E3" w14:textId="78761A0D">
            <w:pPr>
              <w:widowControl/>
              <w:ind w:left="522"/>
              <w:rPr>
                <w:color w:val="000000" w:themeColor="text1"/>
                <w:spacing w:val="-2"/>
                <w:szCs w:val="22"/>
              </w:rPr>
            </w:pPr>
            <w:r>
              <w:rPr>
                <w:color w:val="000000" w:themeColor="text1"/>
                <w:spacing w:val="-2"/>
                <w:szCs w:val="22"/>
              </w:rPr>
              <w:t>NAL/</w:t>
            </w:r>
            <w:r w:rsidRPr="00F8719D">
              <w:rPr>
                <w:color w:val="000000" w:themeColor="text1"/>
                <w:spacing w:val="-2"/>
                <w:szCs w:val="22"/>
              </w:rPr>
              <w:t xml:space="preserve">Acct. No.:  </w:t>
            </w:r>
            <w:r w:rsidRPr="00A279C9" w:rsidR="00A279C9">
              <w:rPr>
                <w:color w:val="000000" w:themeColor="text1"/>
                <w:spacing w:val="-2"/>
                <w:szCs w:val="22"/>
              </w:rPr>
              <w:t>202632100001</w:t>
            </w:r>
            <w:r w:rsidRPr="00F8719D">
              <w:rPr>
                <w:color w:val="000000" w:themeColor="text1"/>
                <w:spacing w:val="-2"/>
                <w:szCs w:val="22"/>
              </w:rPr>
              <w:t xml:space="preserve"> </w:t>
            </w:r>
          </w:p>
          <w:p w:rsidR="00CA0EAD" w:rsidRPr="005B744E" w:rsidP="003C0F4F" w14:paraId="2D6C6DBE" w14:textId="20FFB27F">
            <w:pPr>
              <w:widowControl/>
              <w:ind w:left="522"/>
              <w:rPr>
                <w:color w:val="000000" w:themeColor="text1"/>
                <w:szCs w:val="22"/>
              </w:rPr>
            </w:pPr>
            <w:r w:rsidRPr="00F8719D">
              <w:rPr>
                <w:color w:val="000000" w:themeColor="text1"/>
                <w:spacing w:val="-2"/>
                <w:szCs w:val="22"/>
              </w:rPr>
              <w:t>FRN</w:t>
            </w:r>
            <w:r w:rsidRPr="00F8719D">
              <w:rPr>
                <w:color w:val="000000" w:themeColor="text1"/>
                <w:spacing w:val="-2"/>
                <w:szCs w:val="22"/>
              </w:rPr>
              <w:t xml:space="preserve">:  </w:t>
            </w:r>
            <w:r w:rsidRPr="00CA0EAD">
              <w:rPr>
                <w:color w:val="000000" w:themeColor="text1"/>
                <w:spacing w:val="-2"/>
                <w:szCs w:val="22"/>
              </w:rPr>
              <w:t>0021050992</w:t>
            </w:r>
            <w:r w:rsidRPr="00CA0EAD">
              <w:rPr>
                <w:color w:val="000000" w:themeColor="text1"/>
                <w:spacing w:val="-2"/>
                <w:szCs w:val="22"/>
              </w:rPr>
              <w:t xml:space="preserve"> </w:t>
            </w:r>
          </w:p>
          <w:p w:rsidR="00CB3253" w:rsidRPr="005B744E" w:rsidP="003C0F4F" w14:paraId="33BAE74B" w14:textId="58802BCC">
            <w:pPr>
              <w:widowControl/>
              <w:rPr>
                <w:color w:val="000000" w:themeColor="text1"/>
                <w:szCs w:val="22"/>
              </w:rPr>
            </w:pPr>
          </w:p>
        </w:tc>
      </w:tr>
    </w:tbl>
    <w:p w:rsidR="002E785A" w:rsidP="002E785A" w14:paraId="54235D06" w14:textId="77777777"/>
    <w:p w:rsidR="002E785A" w:rsidP="002E785A" w14:paraId="6BB495D4" w14:textId="386EE25B">
      <w:pPr>
        <w:pStyle w:val="StyleBoldCentered"/>
      </w:pPr>
      <w:r>
        <w:t>NOTICE OF APPARENT LIABILITY FOR FORFEITURE</w:t>
      </w:r>
    </w:p>
    <w:p w:rsidR="002E785A" w:rsidP="002E785A" w14:paraId="09E4E061" w14:textId="77777777">
      <w:pPr>
        <w:tabs>
          <w:tab w:val="left" w:pos="-720"/>
        </w:tabs>
        <w:suppressAutoHyphens/>
        <w:spacing w:line="227" w:lineRule="auto"/>
        <w:rPr>
          <w:spacing w:val="-2"/>
        </w:rPr>
      </w:pPr>
    </w:p>
    <w:p w:rsidR="002E785A" w:rsidP="002E785A" w14:paraId="2C808E2E" w14:textId="013F56E8">
      <w:pPr>
        <w:tabs>
          <w:tab w:val="left" w:pos="720"/>
          <w:tab w:val="right" w:pos="9360"/>
        </w:tabs>
        <w:suppressAutoHyphens/>
        <w:spacing w:line="227" w:lineRule="auto"/>
        <w:rPr>
          <w:spacing w:val="-2"/>
        </w:rPr>
      </w:pPr>
      <w:r>
        <w:rPr>
          <w:b/>
          <w:spacing w:val="-2"/>
        </w:rPr>
        <w:t>Adopted</w:t>
      </w:r>
      <w:r>
        <w:rPr>
          <w:b/>
          <w:spacing w:val="-2"/>
        </w:rPr>
        <w:t xml:space="preserve">:  </w:t>
      </w:r>
      <w:r>
        <w:rPr>
          <w:b/>
          <w:spacing w:val="-2"/>
        </w:rPr>
        <w:t>February</w:t>
      </w:r>
      <w:r>
        <w:rPr>
          <w:b/>
          <w:spacing w:val="-2"/>
        </w:rPr>
        <w:t xml:space="preserve"> 12, </w:t>
      </w:r>
      <w:r>
        <w:rPr>
          <w:b/>
          <w:spacing w:val="-2"/>
        </w:rPr>
        <w:t>2026</w:t>
      </w:r>
      <w:r>
        <w:rPr>
          <w:b/>
          <w:spacing w:val="-2"/>
        </w:rPr>
        <w:tab/>
        <w:t>Released</w:t>
      </w:r>
      <w:r>
        <w:rPr>
          <w:b/>
          <w:spacing w:val="-2"/>
        </w:rPr>
        <w:t xml:space="preserve">:  </w:t>
      </w:r>
      <w:r>
        <w:rPr>
          <w:b/>
          <w:spacing w:val="-2"/>
        </w:rPr>
        <w:t>February</w:t>
      </w:r>
      <w:r>
        <w:rPr>
          <w:b/>
          <w:spacing w:val="-2"/>
        </w:rPr>
        <w:t xml:space="preserve"> 19, 2026</w:t>
      </w:r>
    </w:p>
    <w:p w:rsidR="00CB3253" w:rsidRPr="00F8719D" w:rsidP="003C0F4F" w14:paraId="33798B2E" w14:textId="77777777">
      <w:pPr>
        <w:pStyle w:val="BodyText"/>
        <w:widowControl/>
        <w:tabs>
          <w:tab w:val="left" w:pos="4680"/>
        </w:tabs>
        <w:jc w:val="center"/>
        <w:rPr>
          <w:color w:val="000000" w:themeColor="text1"/>
          <w:szCs w:val="22"/>
          <w:u w:val="none"/>
        </w:rPr>
      </w:pPr>
    </w:p>
    <w:p w:rsidR="00E92283" w:rsidRPr="00F8719D" w:rsidP="003C0F4F" w14:paraId="2D35E716" w14:textId="3DABD370">
      <w:pPr>
        <w:widowControl/>
        <w:tabs>
          <w:tab w:val="left" w:pos="720"/>
          <w:tab w:val="left" w:pos="5760"/>
        </w:tabs>
        <w:suppressAutoHyphens/>
        <w:spacing w:line="227" w:lineRule="auto"/>
        <w:jc w:val="both"/>
        <w:rPr>
          <w:spacing w:val="-2"/>
          <w:szCs w:val="22"/>
        </w:rPr>
      </w:pPr>
      <w:r w:rsidRPr="00F8719D">
        <w:rPr>
          <w:spacing w:val="-2"/>
          <w:szCs w:val="22"/>
        </w:rPr>
        <w:t xml:space="preserve">By the </w:t>
      </w:r>
      <w:r w:rsidR="00D00229">
        <w:rPr>
          <w:spacing w:val="-2"/>
          <w:szCs w:val="22"/>
        </w:rPr>
        <w:t>Commission</w:t>
      </w:r>
      <w:r w:rsidRPr="00F8719D">
        <w:rPr>
          <w:spacing w:val="-2"/>
          <w:szCs w:val="22"/>
        </w:rPr>
        <w:t>:</w:t>
      </w:r>
    </w:p>
    <w:p w:rsidR="00CB3253" w:rsidRPr="00F8719D" w:rsidP="003C0F4F" w14:paraId="3B1ED56E" w14:textId="77777777">
      <w:pPr>
        <w:pStyle w:val="BodyText"/>
        <w:widowControl/>
        <w:tabs>
          <w:tab w:val="left" w:pos="4680"/>
        </w:tabs>
        <w:rPr>
          <w:b w:val="0"/>
          <w:color w:val="000000" w:themeColor="text1"/>
          <w:szCs w:val="22"/>
          <w:u w:val="none"/>
        </w:rPr>
      </w:pPr>
    </w:p>
    <w:p w:rsidR="001A1802" w:rsidP="003C0F4F" w14:paraId="2B27B18F" w14:textId="1EFC38D7">
      <w:pPr>
        <w:pStyle w:val="Heading1"/>
        <w:widowControl/>
        <w:rPr>
          <w:color w:val="000000" w:themeColor="text1"/>
        </w:rPr>
      </w:pPr>
      <w:r w:rsidRPr="00F8719D">
        <w:rPr>
          <w:color w:val="000000" w:themeColor="text1"/>
        </w:rPr>
        <w:t>INTRODUCTION</w:t>
      </w:r>
    </w:p>
    <w:p w:rsidR="008E2D25" w:rsidRPr="008E6DAF" w:rsidP="002E785A" w14:paraId="66B4417E" w14:textId="1BE921CF">
      <w:pPr>
        <w:pStyle w:val="ParaNum0"/>
        <w:widowControl/>
        <w:tabs>
          <w:tab w:val="clear" w:pos="1440"/>
        </w:tabs>
      </w:pPr>
      <w:r w:rsidRPr="008E6DAF">
        <w:rPr>
          <w:color w:val="000000" w:themeColor="text1"/>
        </w:rPr>
        <w:t xml:space="preserve">We </w:t>
      </w:r>
      <w:r w:rsidR="0054312A">
        <w:t xml:space="preserve">propose a penalty </w:t>
      </w:r>
      <w:r w:rsidRPr="00A64A8F" w:rsidR="0054312A">
        <w:t xml:space="preserve">of </w:t>
      </w:r>
      <w:r w:rsidRPr="00A64A8F" w:rsidR="00FA73BE">
        <w:t>$188,491</w:t>
      </w:r>
      <w:r w:rsidRPr="00A64A8F" w:rsidR="0054312A">
        <w:t xml:space="preserve"> against</w:t>
      </w:r>
      <w:r w:rsidRPr="00A64A8F" w:rsidR="00A2151C">
        <w:t xml:space="preserve"> </w:t>
      </w:r>
      <w:r w:rsidRPr="00A64A8F" w:rsidR="00B6737E">
        <w:t>Zhejiang Dahua Technology Co., Ltd</w:t>
      </w:r>
      <w:r w:rsidRPr="00A64A8F" w:rsidR="00E32B9C">
        <w:t>.</w:t>
      </w:r>
      <w:r w:rsidRPr="00A64A8F" w:rsidR="00A2151C">
        <w:t xml:space="preserve"> (</w:t>
      </w:r>
      <w:r w:rsidRPr="00A64A8F" w:rsidR="00D92015">
        <w:t>Zhejiang Dahua</w:t>
      </w:r>
      <w:r w:rsidRPr="00A64A8F" w:rsidR="00F258D5">
        <w:t xml:space="preserve"> or Company</w:t>
      </w:r>
      <w:r w:rsidRPr="00A64A8F" w:rsidR="00D92015">
        <w:t>)</w:t>
      </w:r>
      <w:r w:rsidR="003E6D4D">
        <w:t>,</w:t>
      </w:r>
      <w:r w:rsidRPr="00A64A8F" w:rsidR="00812E17">
        <w:t xml:space="preserve"> </w:t>
      </w:r>
      <w:r w:rsidRPr="00A64A8F" w:rsidR="000D79C0">
        <w:t xml:space="preserve">an entity </w:t>
      </w:r>
      <w:r w:rsidRPr="00A64A8F" w:rsidR="46F037A4">
        <w:t xml:space="preserve">named </w:t>
      </w:r>
      <w:r w:rsidRPr="00A64A8F" w:rsidR="000D79C0">
        <w:t>on the Federal Communications Commission’s (</w:t>
      </w:r>
      <w:r w:rsidRPr="00A64A8F" w:rsidR="004103D7">
        <w:t xml:space="preserve">FCC or </w:t>
      </w:r>
      <w:r w:rsidRPr="00A64A8F" w:rsidR="001F170F">
        <w:t>Commission</w:t>
      </w:r>
      <w:r w:rsidRPr="00A64A8F" w:rsidR="000D79C0">
        <w:t xml:space="preserve">) </w:t>
      </w:r>
      <w:r w:rsidRPr="00A64A8F" w:rsidR="009A0727">
        <w:t>C</w:t>
      </w:r>
      <w:r w:rsidRPr="00A64A8F" w:rsidR="000D79C0">
        <w:t xml:space="preserve">overed </w:t>
      </w:r>
      <w:r w:rsidRPr="00A64A8F" w:rsidR="009A0727">
        <w:t>L</w:t>
      </w:r>
      <w:r w:rsidRPr="00A64A8F" w:rsidR="000D79C0">
        <w:t>ist</w:t>
      </w:r>
      <w:r w:rsidR="003E6D4D">
        <w:t>,</w:t>
      </w:r>
      <w:r>
        <w:rPr>
          <w:rStyle w:val="FootnoteReference"/>
        </w:rPr>
        <w:footnoteReference w:id="3"/>
      </w:r>
      <w:r w:rsidRPr="00A64A8F" w:rsidR="000D79C0">
        <w:t xml:space="preserve"> </w:t>
      </w:r>
      <w:r w:rsidRPr="00A64A8F" w:rsidR="003E6D4D">
        <w:t xml:space="preserve">for failing </w:t>
      </w:r>
      <w:r w:rsidRPr="00A64A8F" w:rsidR="00014D9B">
        <w:t xml:space="preserve">to </w:t>
      </w:r>
      <w:r w:rsidR="00D967F9">
        <w:t>tim</w:t>
      </w:r>
      <w:r w:rsidR="00672DC7">
        <w:t xml:space="preserve">ely </w:t>
      </w:r>
      <w:r w:rsidRPr="00A64A8F" w:rsidR="00014D9B">
        <w:t>submit to the</w:t>
      </w:r>
      <w:r w:rsidR="00014D9B">
        <w:t xml:space="preserve"> Commission</w:t>
      </w:r>
      <w:r w:rsidR="00ED5EE5">
        <w:t xml:space="preserve"> </w:t>
      </w:r>
      <w:r w:rsidR="000D79C0">
        <w:t>the</w:t>
      </w:r>
      <w:r w:rsidR="00ED5EE5">
        <w:t xml:space="preserve"> contact information for each of </w:t>
      </w:r>
      <w:r w:rsidR="00014D9B">
        <w:t>its subsidiaries and affiliate</w:t>
      </w:r>
      <w:r w:rsidR="001E09A3">
        <w:t>s</w:t>
      </w:r>
      <w:r w:rsidR="00EF56E2">
        <w:t xml:space="preserve"> </w:t>
      </w:r>
      <w:r w:rsidR="00C135F9">
        <w:t>identi</w:t>
      </w:r>
      <w:r w:rsidR="001D720C">
        <w:t>fied on the Covered List</w:t>
      </w:r>
      <w:r w:rsidR="001E09A3">
        <w:t xml:space="preserve"> </w:t>
      </w:r>
      <w:r w:rsidR="001D720C">
        <w:t>as producing</w:t>
      </w:r>
      <w:r w:rsidR="00816940">
        <w:t xml:space="preserve"> co</w:t>
      </w:r>
      <w:r w:rsidR="001E09A3">
        <w:t>vered communications equipment</w:t>
      </w:r>
      <w:r w:rsidR="003E6D4D">
        <w:t>,</w:t>
      </w:r>
      <w:r w:rsidR="00CD228A">
        <w:t xml:space="preserve"> </w:t>
      </w:r>
      <w:r w:rsidR="00022214">
        <w:t xml:space="preserve">in apparent violation of </w:t>
      </w:r>
      <w:r w:rsidR="00CD228A">
        <w:t>section 2.903</w:t>
      </w:r>
      <w:r w:rsidR="00311C00">
        <w:t>(</w:t>
      </w:r>
      <w:r w:rsidR="00610520">
        <w:t>d</w:t>
      </w:r>
      <w:r w:rsidR="00311C00">
        <w:t>) of the Commission’s rules</w:t>
      </w:r>
      <w:r>
        <w:t>.</w:t>
      </w:r>
      <w:bookmarkStart w:id="0" w:name="_Ref220910279"/>
      <w:r>
        <w:rPr>
          <w:rStyle w:val="FootnoteReference"/>
        </w:rPr>
        <w:footnoteReference w:id="4"/>
      </w:r>
      <w:bookmarkEnd w:id="0"/>
      <w:r w:rsidR="002C24AC">
        <w:t xml:space="preserve">  </w:t>
      </w:r>
      <w:r>
        <w:t xml:space="preserve">Based on </w:t>
      </w:r>
      <w:r w:rsidR="00F93F06">
        <w:t xml:space="preserve">the </w:t>
      </w:r>
      <w:r>
        <w:t>facts set forth below, we find that</w:t>
      </w:r>
      <w:r w:rsidR="00671011">
        <w:t xml:space="preserve"> </w:t>
      </w:r>
      <w:r>
        <w:t>Zhejiang Dahua</w:t>
      </w:r>
      <w:r w:rsidR="00071EB6">
        <w:t xml:space="preserve"> </w:t>
      </w:r>
      <w:r w:rsidR="00ED5EE5">
        <w:t>failed to</w:t>
      </w:r>
      <w:r w:rsidR="00071EB6">
        <w:t xml:space="preserve"> </w:t>
      </w:r>
      <w:r w:rsidR="00520D3C">
        <w:t xml:space="preserve">make the required filing with </w:t>
      </w:r>
      <w:r w:rsidR="00023366">
        <w:t xml:space="preserve">the </w:t>
      </w:r>
      <w:r w:rsidR="009A0727">
        <w:t>C</w:t>
      </w:r>
      <w:r w:rsidR="00023366">
        <w:t xml:space="preserve">ommission </w:t>
      </w:r>
      <w:r w:rsidR="00071EB6">
        <w:t xml:space="preserve">by the </w:t>
      </w:r>
      <w:r w:rsidR="00A0403B">
        <w:t xml:space="preserve">March 8, 2023 </w:t>
      </w:r>
      <w:r w:rsidR="00071EB6">
        <w:t>deadline</w:t>
      </w:r>
      <w:r>
        <w:t>.</w:t>
      </w:r>
      <w:r>
        <w:rPr>
          <w:rStyle w:val="FootnoteReference"/>
        </w:rPr>
        <w:footnoteReference w:id="5"/>
      </w:r>
      <w:r w:rsidR="00AC67CD">
        <w:t xml:space="preserve">  </w:t>
      </w:r>
      <w:r w:rsidRPr="000B1F81" w:rsidR="000B1F81">
        <w:t xml:space="preserve">It </w:t>
      </w:r>
      <w:r w:rsidR="00E97D9E">
        <w:t>is</w:t>
      </w:r>
      <w:r w:rsidRPr="000B1F81" w:rsidR="000B1F81">
        <w:t xml:space="preserve"> essential that the Commission</w:t>
      </w:r>
      <w:r w:rsidR="00561818">
        <w:t xml:space="preserve">, </w:t>
      </w:r>
      <w:r w:rsidRPr="000B1F81" w:rsidR="000B1F81">
        <w:t>and all other relevant stakeholders</w:t>
      </w:r>
      <w:r w:rsidR="00561818">
        <w:t xml:space="preserve">, </w:t>
      </w:r>
      <w:r w:rsidRPr="000B1F81" w:rsidR="000B1F81">
        <w:t xml:space="preserve">have access to clear, transparent, and readily available information identifying the specific entities that are associated with </w:t>
      </w:r>
      <w:r w:rsidR="00C379AC">
        <w:t xml:space="preserve">entities </w:t>
      </w:r>
      <w:r w:rsidRPr="000B1F81" w:rsidR="000B1F81">
        <w:t>named on the Covered List.</w:t>
      </w:r>
      <w:r>
        <w:rPr>
          <w:rStyle w:val="FootnoteReference"/>
        </w:rPr>
        <w:footnoteReference w:id="6"/>
      </w:r>
      <w:r w:rsidR="007D219D">
        <w:t xml:space="preserve">  </w:t>
      </w:r>
      <w:r w:rsidRPr="00564068" w:rsidR="00564068">
        <w:t xml:space="preserve">This requirement aligns with the Commission’s responsibility </w:t>
      </w:r>
      <w:r w:rsidRPr="00564068" w:rsidR="1D956D96">
        <w:t>under</w:t>
      </w:r>
      <w:r w:rsidRPr="00564068" w:rsidR="00564068">
        <w:t xml:space="preserve"> the </w:t>
      </w:r>
      <w:r w:rsidRPr="004E0D37" w:rsidR="004E0D37">
        <w:t>Secure and Trusted Communications Networks Act of 2019 (Secure Networks</w:t>
      </w:r>
      <w:r w:rsidR="004E0D37">
        <w:t xml:space="preserve"> Act</w:t>
      </w:r>
      <w:r w:rsidR="1A0717AD">
        <w:t>)</w:t>
      </w:r>
      <w:r w:rsidR="004E0D37">
        <w:t xml:space="preserve"> </w:t>
      </w:r>
      <w:r w:rsidRPr="00564068" w:rsidR="00564068">
        <w:t xml:space="preserve">to </w:t>
      </w:r>
      <w:r w:rsidR="000D6DA3">
        <w:t>maintain the Covered List and its responsibility under the Secure Equipment Act of 2021</w:t>
      </w:r>
      <w:r w:rsidR="00C273D4">
        <w:t xml:space="preserve"> (Secure Equipment Act)</w:t>
      </w:r>
      <w:r w:rsidR="000E4F5C">
        <w:t xml:space="preserve"> </w:t>
      </w:r>
      <w:r w:rsidR="00F04A4D">
        <w:t>to</w:t>
      </w:r>
      <w:r w:rsidRPr="00564068" w:rsidR="00564068">
        <w:t xml:space="preserve"> ensure that no </w:t>
      </w:r>
      <w:r w:rsidR="005D798E">
        <w:t xml:space="preserve">equipment </w:t>
      </w:r>
      <w:r w:rsidRPr="00564068" w:rsidR="00564068">
        <w:t>authorization is granted for “covered” equipment.</w:t>
      </w:r>
      <w:r>
        <w:rPr>
          <w:rStyle w:val="FootnoteReference"/>
        </w:rPr>
        <w:footnoteReference w:id="7"/>
      </w:r>
      <w:r w:rsidR="00E95C24">
        <w:t xml:space="preserve">  </w:t>
      </w:r>
    </w:p>
    <w:p w:rsidR="00A2151C" w:rsidP="003C0F4F" w14:paraId="4F90A2D8" w14:textId="77777777">
      <w:pPr>
        <w:pStyle w:val="Heading1"/>
        <w:widowControl/>
        <w:rPr>
          <w:color w:val="000000" w:themeColor="text1"/>
        </w:rPr>
      </w:pPr>
      <w:r w:rsidRPr="00F8719D">
        <w:rPr>
          <w:color w:val="000000" w:themeColor="text1"/>
        </w:rPr>
        <w:t>BACKGROUND</w:t>
      </w:r>
    </w:p>
    <w:p w:rsidR="009733B5" w:rsidP="003C0F4F" w14:paraId="24E76BD9" w14:textId="26D16E96">
      <w:pPr>
        <w:pStyle w:val="Heading2"/>
        <w:widowControl/>
      </w:pPr>
      <w:r>
        <w:t>Legal Framework</w:t>
      </w:r>
    </w:p>
    <w:p w:rsidR="006752CA" w:rsidP="0050028D" w14:paraId="3D1C8AA2" w14:textId="43B02609">
      <w:pPr>
        <w:pStyle w:val="ParaNum0"/>
        <w:widowControl/>
      </w:pPr>
      <w:r>
        <w:t>I</w:t>
      </w:r>
      <w:r w:rsidRPr="00C81479">
        <w:t>n August 2018, Congress enacted section 889 of the National Defense Authorization Act for Fiscal Year 2019 (2019 NDAA), in which it</w:t>
      </w:r>
      <w:r>
        <w:t>, among other things,</w:t>
      </w:r>
      <w:r w:rsidRPr="00C81479">
        <w:t xml:space="preserve"> </w:t>
      </w:r>
      <w:r>
        <w:t>prohibited</w:t>
      </w:r>
      <w:r w:rsidRPr="00C81479">
        <w:t xml:space="preserve"> federal </w:t>
      </w:r>
      <w:r>
        <w:t>agencies from certain actions related to the procurement or use of</w:t>
      </w:r>
      <w:r w:rsidRPr="00C81479">
        <w:t xml:space="preserve"> </w:t>
      </w:r>
      <w:r>
        <w:t>“covered telecommunications equipment or services</w:t>
      </w:r>
      <w:r w:rsidR="00F1582C">
        <w:t>,”</w:t>
      </w:r>
      <w:r w:rsidR="00AB1D17">
        <w:t xml:space="preserve"> which Congress defined, in relevant part</w:t>
      </w:r>
      <w:r w:rsidR="00884F55">
        <w:t>,</w:t>
      </w:r>
      <w:r w:rsidR="00AB1D17">
        <w:t xml:space="preserve"> as including </w:t>
      </w:r>
      <w:r w:rsidR="00984313">
        <w:t xml:space="preserve">“video surveillance and telecommunications </w:t>
      </w:r>
      <w:r w:rsidR="00F27410">
        <w:t>equipment</w:t>
      </w:r>
      <w:r w:rsidR="00984313">
        <w:t xml:space="preserve"> produced by . . . Dahua Technology Company</w:t>
      </w:r>
      <w:r w:rsidR="006B56E1">
        <w:t xml:space="preserve">” when used “[f]or the purpose of public safety, security of </w:t>
      </w:r>
      <w:r w:rsidR="00227BF3">
        <w:t>government</w:t>
      </w:r>
      <w:r w:rsidR="00F27410">
        <w:t xml:space="preserve"> </w:t>
      </w:r>
      <w:r w:rsidR="006B56E1">
        <w:t xml:space="preserve">facilities, physical security surveillance of critical </w:t>
      </w:r>
      <w:r w:rsidR="00F27410">
        <w:t>infrastructure</w:t>
      </w:r>
      <w:r w:rsidR="006B56E1">
        <w:t>, and other national security purposes.</w:t>
      </w:r>
      <w:r w:rsidR="00F27410">
        <w:t>”</w:t>
      </w:r>
      <w:r>
        <w:rPr>
          <w:rStyle w:val="FootnoteReference"/>
        </w:rPr>
        <w:footnoteReference w:id="8"/>
      </w:r>
      <w:r w:rsidR="00F1582C">
        <w:t xml:space="preserve">  </w:t>
      </w:r>
      <w:r w:rsidR="00BC062C">
        <w:t xml:space="preserve">In March 2020, </w:t>
      </w:r>
      <w:r w:rsidR="007C2287">
        <w:t xml:space="preserve">Congress enacted the </w:t>
      </w:r>
      <w:r w:rsidR="00BC062C">
        <w:t>Secure Networks Act</w:t>
      </w:r>
      <w:r w:rsidR="00776997">
        <w:t xml:space="preserve"> </w:t>
      </w:r>
      <w:r w:rsidR="00BC062C">
        <w:t xml:space="preserve">for the purposes of preventing communications equipment or services that pose a national security risk from entering U.S. networks and </w:t>
      </w:r>
      <w:r w:rsidR="00B421A6">
        <w:t xml:space="preserve">to facilitate the </w:t>
      </w:r>
      <w:r w:rsidR="00BC062C">
        <w:t>remov</w:t>
      </w:r>
      <w:r w:rsidR="00B421A6">
        <w:t xml:space="preserve">al of such </w:t>
      </w:r>
      <w:r w:rsidR="00BC062C">
        <w:t xml:space="preserve">equipment </w:t>
      </w:r>
      <w:r w:rsidR="005F1D0E">
        <w:t>already in use</w:t>
      </w:r>
      <w:r w:rsidR="00BC062C">
        <w:t>.</w:t>
      </w:r>
      <w:r>
        <w:rPr>
          <w:rStyle w:val="FootnoteReference"/>
        </w:rPr>
        <w:footnoteReference w:id="9"/>
      </w:r>
      <w:r w:rsidR="001470CE">
        <w:t xml:space="preserve">  </w:t>
      </w:r>
      <w:r w:rsidR="00BC062C">
        <w:t xml:space="preserve">As part of furthering this purpose, the </w:t>
      </w:r>
      <w:r w:rsidR="007C2287">
        <w:t xml:space="preserve">Secure Networks </w:t>
      </w:r>
      <w:r w:rsidR="00BC062C">
        <w:t xml:space="preserve">Act requires the Commission </w:t>
      </w:r>
      <w:r w:rsidR="00826AC2">
        <w:t xml:space="preserve">to </w:t>
      </w:r>
      <w:r w:rsidR="00BC062C">
        <w:t>publish, and periodically update, a list of “covered communications equipment and services” that have been determined to pose national security risks</w:t>
      </w:r>
      <w:r w:rsidR="00AF700A">
        <w:t xml:space="preserve"> (Covered List)</w:t>
      </w:r>
      <w:r w:rsidR="00BC062C">
        <w:t>, including “covered telecommunications equipment or services” as defined in section 889(f)(3) of the 2019 NDAA.</w:t>
      </w:r>
      <w:r>
        <w:rPr>
          <w:rStyle w:val="FootnoteReference"/>
        </w:rPr>
        <w:footnoteReference w:id="10"/>
      </w:r>
      <w:r w:rsidR="00BC062C">
        <w:t xml:space="preserve">  </w:t>
      </w:r>
    </w:p>
    <w:p w:rsidR="00020CF1" w:rsidP="003C0F4F" w14:paraId="1685F2A8" w14:textId="73439DA7">
      <w:pPr>
        <w:pStyle w:val="ParaNum0"/>
        <w:widowControl/>
      </w:pPr>
      <w:r>
        <w:t>In response to this legislation, on March 12, 2021, th</w:t>
      </w:r>
      <w:r w:rsidR="00B951D7">
        <w:t xml:space="preserve">e Commission published </w:t>
      </w:r>
      <w:r w:rsidR="00C83700">
        <w:t>the first version of the Covered List</w:t>
      </w:r>
      <w:r w:rsidR="008D5B4C">
        <w:t xml:space="preserve">, </w:t>
      </w:r>
      <w:r w:rsidRPr="0020656F" w:rsidR="008D5B4C">
        <w:rPr>
          <w:szCs w:val="22"/>
        </w:rPr>
        <w:t xml:space="preserve">comprising </w:t>
      </w:r>
      <w:r w:rsidRPr="0020656F" w:rsidR="007E36E1">
        <w:rPr>
          <w:szCs w:val="22"/>
        </w:rPr>
        <w:t>comm</w:t>
      </w:r>
      <w:r w:rsidRPr="0020656F" w:rsidR="00F604F3">
        <w:rPr>
          <w:szCs w:val="22"/>
        </w:rPr>
        <w:t xml:space="preserve">unications </w:t>
      </w:r>
      <w:r w:rsidRPr="0020656F" w:rsidR="005E495F">
        <w:rPr>
          <w:szCs w:val="22"/>
        </w:rPr>
        <w:t xml:space="preserve">equipment and services </w:t>
      </w:r>
      <w:r w:rsidRPr="0020656F" w:rsidR="00164C67">
        <w:rPr>
          <w:szCs w:val="22"/>
        </w:rPr>
        <w:t>of the five entities</w:t>
      </w:r>
      <w:r w:rsidRPr="0020656F" w:rsidR="007B18ED">
        <w:rPr>
          <w:szCs w:val="22"/>
        </w:rPr>
        <w:t xml:space="preserve"> (and their affiliates and subsidiaries) named in the 2019 NDAA</w:t>
      </w:r>
      <w:r w:rsidRPr="0020656F" w:rsidR="00E001E7">
        <w:rPr>
          <w:szCs w:val="22"/>
        </w:rPr>
        <w:t>.</w:t>
      </w:r>
      <w:bookmarkStart w:id="3" w:name="_Ref207208327"/>
      <w:r>
        <w:rPr>
          <w:rStyle w:val="FootnoteReference"/>
          <w:sz w:val="22"/>
          <w:szCs w:val="22"/>
        </w:rPr>
        <w:footnoteReference w:id="11"/>
      </w:r>
      <w:bookmarkEnd w:id="3"/>
      <w:r w:rsidRPr="0020656F" w:rsidR="00E001E7">
        <w:rPr>
          <w:szCs w:val="22"/>
        </w:rPr>
        <w:t xml:space="preserve">  These companies are:  </w:t>
      </w:r>
      <w:r w:rsidRPr="0020656F" w:rsidR="0048770A">
        <w:rPr>
          <w:szCs w:val="22"/>
        </w:rPr>
        <w:t>Huawei Technologies Company, ZTE Corporation, Hytera Communications Corporation, Hangzhou Hikvision Digital Technology Company, and Dahua Technology Company</w:t>
      </w:r>
      <w:r w:rsidRPr="0020656F" w:rsidR="005E495F">
        <w:rPr>
          <w:szCs w:val="22"/>
        </w:rPr>
        <w:t>.</w:t>
      </w:r>
      <w:r>
        <w:rPr>
          <w:rStyle w:val="FootnoteReference"/>
          <w:sz w:val="22"/>
          <w:szCs w:val="22"/>
        </w:rPr>
        <w:footnoteReference w:id="12"/>
      </w:r>
      <w:r w:rsidRPr="0020656F" w:rsidR="00C943A5">
        <w:rPr>
          <w:szCs w:val="22"/>
        </w:rPr>
        <w:t xml:space="preserve"> </w:t>
      </w:r>
      <w:r w:rsidRPr="0020656F" w:rsidR="005E495F">
        <w:rPr>
          <w:szCs w:val="22"/>
        </w:rPr>
        <w:t xml:space="preserve"> </w:t>
      </w:r>
      <w:r w:rsidRPr="0020656F" w:rsidR="007A364F">
        <w:rPr>
          <w:szCs w:val="22"/>
        </w:rPr>
        <w:t xml:space="preserve">On </w:t>
      </w:r>
      <w:r w:rsidRPr="0020656F" w:rsidR="00E00192">
        <w:rPr>
          <w:szCs w:val="22"/>
        </w:rPr>
        <w:t xml:space="preserve">November 11, 2021, </w:t>
      </w:r>
      <w:r w:rsidRPr="0020656F" w:rsidR="00B5680C">
        <w:rPr>
          <w:szCs w:val="22"/>
        </w:rPr>
        <w:t>Congress enacted th</w:t>
      </w:r>
      <w:r w:rsidRPr="0020656F" w:rsidR="00310C57">
        <w:rPr>
          <w:szCs w:val="22"/>
        </w:rPr>
        <w:t xml:space="preserve">e Secure Equipment Act which required the Commission </w:t>
      </w:r>
      <w:r w:rsidRPr="0020656F" w:rsidR="007A364F">
        <w:rPr>
          <w:szCs w:val="22"/>
        </w:rPr>
        <w:t xml:space="preserve">to establish rules stating that it will no longer review or approve any authorization application for </w:t>
      </w:r>
      <w:r w:rsidRPr="0020656F" w:rsidR="00BC6788">
        <w:rPr>
          <w:szCs w:val="22"/>
        </w:rPr>
        <w:t xml:space="preserve">any “covered” </w:t>
      </w:r>
      <w:r w:rsidRPr="0020656F" w:rsidR="007A364F">
        <w:rPr>
          <w:szCs w:val="22"/>
        </w:rPr>
        <w:t xml:space="preserve">equipment that is on the </w:t>
      </w:r>
      <w:r w:rsidRPr="0020656F" w:rsidR="00A71770">
        <w:rPr>
          <w:szCs w:val="22"/>
        </w:rPr>
        <w:t xml:space="preserve">Covered </w:t>
      </w:r>
      <w:r w:rsidRPr="0020656F" w:rsidR="00A71770">
        <w:rPr>
          <w:szCs w:val="22"/>
        </w:rPr>
        <w:t>L</w:t>
      </w:r>
      <w:r w:rsidRPr="0020656F" w:rsidR="007A364F">
        <w:rPr>
          <w:szCs w:val="22"/>
        </w:rPr>
        <w:t>ist</w:t>
      </w:r>
      <w:r w:rsidRPr="0020656F" w:rsidR="00596AEA">
        <w:rPr>
          <w:szCs w:val="22"/>
        </w:rPr>
        <w:t>.</w:t>
      </w:r>
      <w:r>
        <w:rPr>
          <w:rStyle w:val="FootnoteReference"/>
          <w:sz w:val="22"/>
          <w:szCs w:val="22"/>
        </w:rPr>
        <w:footnoteReference w:id="13"/>
      </w:r>
      <w:r w:rsidR="00385B71">
        <w:rPr>
          <w:szCs w:val="22"/>
        </w:rPr>
        <w:t xml:space="preserve">  </w:t>
      </w:r>
      <w:r w:rsidRPr="0020656F" w:rsidR="00B4613B">
        <w:rPr>
          <w:szCs w:val="22"/>
        </w:rPr>
        <w:t>Subsequently, o</w:t>
      </w:r>
      <w:r w:rsidRPr="0020656F" w:rsidR="00A34B14">
        <w:rPr>
          <w:szCs w:val="22"/>
        </w:rPr>
        <w:t xml:space="preserve">n November 25, 2022, the Commission issued </w:t>
      </w:r>
      <w:r w:rsidRPr="0020656F" w:rsidR="00360641">
        <w:rPr>
          <w:szCs w:val="22"/>
        </w:rPr>
        <w:t xml:space="preserve">its </w:t>
      </w:r>
      <w:r w:rsidRPr="0020656F" w:rsidR="00360641">
        <w:rPr>
          <w:i/>
          <w:iCs/>
          <w:szCs w:val="22"/>
        </w:rPr>
        <w:t xml:space="preserve">2022 </w:t>
      </w:r>
      <w:r w:rsidR="002E0BEE">
        <w:rPr>
          <w:i/>
          <w:iCs/>
          <w:szCs w:val="22"/>
        </w:rPr>
        <w:t>Equipment Authorization Security</w:t>
      </w:r>
      <w:r w:rsidRPr="0020656F" w:rsidR="00CC698A">
        <w:rPr>
          <w:i/>
          <w:iCs/>
          <w:szCs w:val="22"/>
        </w:rPr>
        <w:t xml:space="preserve"> </w:t>
      </w:r>
      <w:r w:rsidRPr="0020656F" w:rsidR="00CA5E3D">
        <w:rPr>
          <w:i/>
          <w:iCs/>
          <w:szCs w:val="22"/>
        </w:rPr>
        <w:t>Report and Order</w:t>
      </w:r>
      <w:r w:rsidR="00D97F2D">
        <w:rPr>
          <w:szCs w:val="22"/>
        </w:rPr>
        <w:t xml:space="preserve">, </w:t>
      </w:r>
      <w:r w:rsidRPr="0020656F" w:rsidR="008357B1">
        <w:rPr>
          <w:szCs w:val="22"/>
        </w:rPr>
        <w:t xml:space="preserve">implementing the </w:t>
      </w:r>
      <w:r w:rsidRPr="0020656F" w:rsidR="00B5680C">
        <w:rPr>
          <w:szCs w:val="22"/>
        </w:rPr>
        <w:t>Secure</w:t>
      </w:r>
      <w:r w:rsidRPr="0020656F" w:rsidR="008357B1">
        <w:rPr>
          <w:szCs w:val="22"/>
        </w:rPr>
        <w:t xml:space="preserve"> Equipment</w:t>
      </w:r>
      <w:r w:rsidR="008357B1">
        <w:t xml:space="preserve"> Act</w:t>
      </w:r>
      <w:r w:rsidR="00D97F2D">
        <w:t xml:space="preserve">, </w:t>
      </w:r>
      <w:r w:rsidR="007E3C8E">
        <w:t xml:space="preserve">in which it adopted </w:t>
      </w:r>
      <w:r w:rsidR="005D2DA4">
        <w:t>section 2.903 of the Commission’s rules</w:t>
      </w:r>
      <w:r w:rsidR="005A59D2">
        <w:t>.</w:t>
      </w:r>
      <w:r>
        <w:rPr>
          <w:rStyle w:val="FootnoteReference"/>
        </w:rPr>
        <w:footnoteReference w:id="14"/>
      </w:r>
      <w:r w:rsidR="00A0656C">
        <w:t xml:space="preserve">  </w:t>
      </w:r>
      <w:r w:rsidR="005A59D2">
        <w:t>This rule</w:t>
      </w:r>
      <w:r w:rsidR="006B55F9">
        <w:t xml:space="preserve"> </w:t>
      </w:r>
      <w:r w:rsidR="005A59D2">
        <w:t>requires</w:t>
      </w:r>
      <w:r w:rsidR="00A34B14">
        <w:t xml:space="preserve"> </w:t>
      </w:r>
      <w:r w:rsidR="00A90DE2">
        <w:t xml:space="preserve">each </w:t>
      </w:r>
      <w:r w:rsidR="001622F4">
        <w:t>entity named on the Covered List (</w:t>
      </w:r>
      <w:r w:rsidR="0097378B">
        <w:t>Named Entit</w:t>
      </w:r>
      <w:r w:rsidR="004450CF">
        <w:t>y</w:t>
      </w:r>
      <w:r w:rsidR="001622F4">
        <w:t>)</w:t>
      </w:r>
      <w:r w:rsidR="00A34B14">
        <w:t xml:space="preserve"> to</w:t>
      </w:r>
      <w:r w:rsidR="001F4138">
        <w:t xml:space="preserve"> provide to the Commission </w:t>
      </w:r>
      <w:r w:rsidR="005D2DA4">
        <w:t xml:space="preserve">contact information for </w:t>
      </w:r>
      <w:r w:rsidR="00302978">
        <w:t>itself</w:t>
      </w:r>
      <w:r w:rsidR="0045108F">
        <w:t xml:space="preserve">, </w:t>
      </w:r>
      <w:r w:rsidR="005D2DA4">
        <w:t>its</w:t>
      </w:r>
      <w:r w:rsidR="00A34B14">
        <w:t xml:space="preserve"> affiliates</w:t>
      </w:r>
      <w:r w:rsidR="001D0BE2">
        <w:t>,</w:t>
      </w:r>
      <w:r w:rsidR="00A34B14">
        <w:t xml:space="preserve"> and subsidiaries within </w:t>
      </w:r>
      <w:r w:rsidR="00D84382">
        <w:t>th</w:t>
      </w:r>
      <w:r w:rsidR="002B014B">
        <w:t>irty (</w:t>
      </w:r>
      <w:r w:rsidR="00A34B14">
        <w:t>30</w:t>
      </w:r>
      <w:r w:rsidR="002B014B">
        <w:t>)</w:t>
      </w:r>
      <w:r w:rsidR="00A34B14">
        <w:t xml:space="preserve"> days of the </w:t>
      </w:r>
      <w:r w:rsidR="009C145E">
        <w:t xml:space="preserve">Report and </w:t>
      </w:r>
      <w:r w:rsidR="001D0BE2">
        <w:t xml:space="preserve">Order’s </w:t>
      </w:r>
      <w:r w:rsidR="00A34B14">
        <w:t>publication</w:t>
      </w:r>
      <w:r w:rsidR="001D0BE2">
        <w:t xml:space="preserve"> </w:t>
      </w:r>
      <w:r w:rsidR="00766F65">
        <w:t>(</w:t>
      </w:r>
      <w:r w:rsidR="001D0BE2">
        <w:t xml:space="preserve">i.e., by </w:t>
      </w:r>
      <w:r w:rsidR="00766F65">
        <w:t>March 8, 2023)</w:t>
      </w:r>
      <w:r w:rsidR="001B20EF">
        <w:t>,</w:t>
      </w:r>
      <w:r>
        <w:rPr>
          <w:rStyle w:val="FootnoteReference"/>
        </w:rPr>
        <w:footnoteReference w:id="15"/>
      </w:r>
      <w:r w:rsidR="00116919">
        <w:t xml:space="preserve"> </w:t>
      </w:r>
      <w:r w:rsidR="00DC5CF8">
        <w:t xml:space="preserve">and to submit updates </w:t>
      </w:r>
      <w:r w:rsidR="00116919">
        <w:t xml:space="preserve">within </w:t>
      </w:r>
      <w:r w:rsidR="008A3BC8">
        <w:t>thirty (</w:t>
      </w:r>
      <w:r w:rsidR="00116919">
        <w:t>30</w:t>
      </w:r>
      <w:r w:rsidR="008A3BC8">
        <w:t>)</w:t>
      </w:r>
      <w:r w:rsidR="00116919">
        <w:t xml:space="preserve"> day</w:t>
      </w:r>
      <w:r w:rsidR="00054B1C">
        <w:t xml:space="preserve">s </w:t>
      </w:r>
      <w:r w:rsidR="00116919">
        <w:t>of publication of an updated list</w:t>
      </w:r>
      <w:r>
        <w:rPr>
          <w:rStyle w:val="FootnoteReference"/>
        </w:rPr>
        <w:footnoteReference w:id="16"/>
      </w:r>
      <w:r w:rsidR="009C145E">
        <w:t xml:space="preserve"> </w:t>
      </w:r>
      <w:r w:rsidR="00054B1C">
        <w:t xml:space="preserve">or </w:t>
      </w:r>
      <w:r w:rsidR="00341219">
        <w:t xml:space="preserve">any subsequent </w:t>
      </w:r>
      <w:r w:rsidR="00A34B14">
        <w:t>changes.</w:t>
      </w:r>
      <w:r>
        <w:rPr>
          <w:rStyle w:val="FootnoteReference"/>
        </w:rPr>
        <w:footnoteReference w:id="17"/>
      </w:r>
      <w:r w:rsidRPr="00C52069" w:rsidR="00C52069">
        <w:t xml:space="preserve"> </w:t>
      </w:r>
    </w:p>
    <w:p w:rsidR="00A06047" w:rsidP="0050028D" w14:paraId="5D69FE92" w14:textId="11FAB779">
      <w:pPr>
        <w:pStyle w:val="ParaNum0"/>
        <w:widowControl/>
      </w:pPr>
      <w:r>
        <w:t>The</w:t>
      </w:r>
      <w:r>
        <w:t xml:space="preserve"> Commission emphasized </w:t>
      </w:r>
      <w:r>
        <w:t xml:space="preserve">in the </w:t>
      </w:r>
      <w:r w:rsidRPr="0078792D">
        <w:rPr>
          <w:i/>
          <w:iCs/>
        </w:rPr>
        <w:t xml:space="preserve">2022 </w:t>
      </w:r>
      <w:r w:rsidR="00E649C0">
        <w:rPr>
          <w:i/>
          <w:iCs/>
        </w:rPr>
        <w:t>Equipment Authorization Security</w:t>
      </w:r>
      <w:r w:rsidRPr="0078792D">
        <w:rPr>
          <w:i/>
          <w:iCs/>
        </w:rPr>
        <w:t xml:space="preserve"> Report and Order</w:t>
      </w:r>
      <w:r>
        <w:t xml:space="preserve"> </w:t>
      </w:r>
      <w:r>
        <w:t>the critical importance of ensuring that it, along with applicants for equipment authorization, Telecommunications Certification Bodies, and other stakeholders, has ready access to accurate information identifying which entities are affiliated with entities named on the Covered List</w:t>
      </w:r>
      <w:r w:rsidR="00156E4A">
        <w:t xml:space="preserve"> and thus identified on the Covered List</w:t>
      </w:r>
      <w:r>
        <w:t>.</w:t>
      </w:r>
      <w:r>
        <w:rPr>
          <w:rStyle w:val="FootnoteReference"/>
        </w:rPr>
        <w:footnoteReference w:id="18"/>
      </w:r>
      <w:r>
        <w:t xml:space="preserve">  The submission and public availability of these associations directly supports the Commission’s </w:t>
      </w:r>
      <w:r w:rsidR="00156E4A">
        <w:t xml:space="preserve">statutory obligation </w:t>
      </w:r>
      <w:r>
        <w:t>to prevent unauthorized or potentially insecure equipment from entering the U.S. marketplace.</w:t>
      </w:r>
      <w:r w:rsidRPr="0052775F">
        <w:rPr>
          <w:rStyle w:val="FootnoteReference"/>
        </w:rPr>
        <w:t xml:space="preserve"> </w:t>
      </w:r>
      <w:r>
        <w:rPr>
          <w:rStyle w:val="FootnoteReference"/>
        </w:rPr>
        <w:footnoteReference w:id="19"/>
      </w:r>
      <w:r>
        <w:t xml:space="preserve">  </w:t>
      </w:r>
      <w:r w:rsidR="006045E2">
        <w:t>M</w:t>
      </w:r>
      <w:r w:rsidRPr="00626043">
        <w:t xml:space="preserve">aintaining an accurate and transparent record of the affiliations of Named Entities aligns with the Commission’s </w:t>
      </w:r>
      <w:r w:rsidR="00974FCE">
        <w:t>responsibility to enforce the Secure Networks Act and the Secure Equipment Act.</w:t>
      </w:r>
      <w:r w:rsidRPr="00626043" w:rsidR="00974FCE">
        <w:t xml:space="preserve"> </w:t>
      </w:r>
      <w:r>
        <w:t>Moreover, as the Commission</w:t>
      </w:r>
      <w:r w:rsidR="00556094">
        <w:t xml:space="preserve"> highlighted</w:t>
      </w:r>
      <w:r>
        <w:t xml:space="preserve"> in the </w:t>
      </w:r>
      <w:r w:rsidRPr="00DA2A75">
        <w:rPr>
          <w:i/>
          <w:iCs/>
        </w:rPr>
        <w:t xml:space="preserve">2022 </w:t>
      </w:r>
      <w:bookmarkStart w:id="4" w:name="_Hlk208848693"/>
      <w:r w:rsidR="00ED2E64">
        <w:rPr>
          <w:i/>
          <w:iCs/>
        </w:rPr>
        <w:t>E</w:t>
      </w:r>
      <w:r w:rsidR="00753861">
        <w:rPr>
          <w:i/>
          <w:iCs/>
        </w:rPr>
        <w:t xml:space="preserve">quipment </w:t>
      </w:r>
      <w:r w:rsidR="00ED2E64">
        <w:rPr>
          <w:i/>
          <w:iCs/>
        </w:rPr>
        <w:t>Authorization Security</w:t>
      </w:r>
      <w:bookmarkEnd w:id="4"/>
      <w:r w:rsidRPr="00DA2A75">
        <w:rPr>
          <w:i/>
          <w:iCs/>
        </w:rPr>
        <w:t xml:space="preserve"> Report and Order</w:t>
      </w:r>
      <w:r>
        <w:t>, it is also essential that such information be kept current and readily accessible to all stakeholders to support compliance with our rules, including the applicants’ attestation requirements.</w:t>
      </w:r>
      <w:r>
        <w:rPr>
          <w:rStyle w:val="FootnoteReference"/>
        </w:rPr>
        <w:footnoteReference w:id="20"/>
      </w:r>
    </w:p>
    <w:p w:rsidR="009733B5" w:rsidRPr="00593A12" w:rsidP="003C0F4F" w14:paraId="5E298647" w14:textId="4E65548B">
      <w:pPr>
        <w:pStyle w:val="Heading2"/>
        <w:widowControl/>
      </w:pPr>
      <w:r w:rsidRPr="00593A12">
        <w:t>Factual Background</w:t>
      </w:r>
    </w:p>
    <w:p w:rsidR="00061C29" w:rsidRPr="0034769F" w:rsidP="0050028D" w14:paraId="5D5E2E8A" w14:textId="2CC5A239">
      <w:pPr>
        <w:pStyle w:val="ParaNum0"/>
        <w:widowControl/>
        <w:rPr>
          <w:color w:val="000000" w:themeColor="text1"/>
          <w:spacing w:val="-2"/>
          <w:szCs w:val="22"/>
        </w:rPr>
      </w:pPr>
      <w:r w:rsidRPr="2B0B0F95">
        <w:rPr>
          <w:color w:val="000000" w:themeColor="text1"/>
        </w:rPr>
        <w:t>Zhejiang Dahua is a manufacturer of video surveillance equipment</w:t>
      </w:r>
      <w:r w:rsidRPr="2B0B0F95" w:rsidR="00B611B8">
        <w:rPr>
          <w:color w:val="000000" w:themeColor="text1"/>
        </w:rPr>
        <w:t xml:space="preserve"> headquartered in </w:t>
      </w:r>
      <w:r w:rsidRPr="2B0B0F95" w:rsidR="009A7059">
        <w:rPr>
          <w:color w:val="000000" w:themeColor="text1"/>
        </w:rPr>
        <w:t>Hangzhou, China</w:t>
      </w:r>
      <w:r w:rsidRPr="2B0B0F95">
        <w:rPr>
          <w:color w:val="000000" w:themeColor="text1"/>
        </w:rPr>
        <w:t>.</w:t>
      </w:r>
      <w:r>
        <w:rPr>
          <w:rStyle w:val="FootnoteReference"/>
        </w:rPr>
        <w:footnoteReference w:id="21"/>
      </w:r>
      <w:r w:rsidR="00663D8F">
        <w:rPr>
          <w:color w:val="000000" w:themeColor="text1"/>
        </w:rPr>
        <w:t xml:space="preserve">  Zhejiang Dahua </w:t>
      </w:r>
      <w:r w:rsidR="00C606F4">
        <w:rPr>
          <w:color w:val="000000" w:themeColor="text1"/>
        </w:rPr>
        <w:t>is, and was from the beginning, a Named Entity.</w:t>
      </w:r>
      <w:r>
        <w:rPr>
          <w:rStyle w:val="FootnoteReference"/>
        </w:rPr>
        <w:footnoteReference w:id="22"/>
      </w:r>
      <w:r w:rsidRPr="2B0B0F95" w:rsidR="0034769F">
        <w:rPr>
          <w:color w:val="000000" w:themeColor="text1"/>
        </w:rPr>
        <w:t xml:space="preserve">  </w:t>
      </w:r>
      <w:bookmarkStart w:id="5" w:name="_Hlk205897487"/>
      <w:r>
        <w:t>On April 9, 2024, Zhejiang Dahua</w:t>
      </w:r>
      <w:r w:rsidR="00AF6B0C">
        <w:t xml:space="preserve"> </w:t>
      </w:r>
      <w:r>
        <w:t xml:space="preserve">submitted a Notice of Change in Affiliates, informing the Commission that Dahua USA </w:t>
      </w:r>
      <w:r>
        <w:t>was no longer an affiliate of Zhejiang Dahua</w:t>
      </w:r>
      <w:bookmarkEnd w:id="5"/>
      <w:r>
        <w:t>.</w:t>
      </w:r>
      <w:r>
        <w:rPr>
          <w:rStyle w:val="FootnoteReference"/>
          <w:spacing w:val="-2"/>
        </w:rPr>
        <w:footnoteReference w:id="23"/>
      </w:r>
      <w:r w:rsidR="00EB7E6A">
        <w:t xml:space="preserve"> </w:t>
      </w:r>
      <w:r w:rsidR="00C943A5">
        <w:t xml:space="preserve"> </w:t>
      </w:r>
      <w:r w:rsidRPr="004A23F3" w:rsidR="004A23F3">
        <w:t xml:space="preserve">This was the first filing submitted to the Commission by Zhejiang Dahua </w:t>
      </w:r>
      <w:r w:rsidR="00163604">
        <w:t xml:space="preserve">pursuant to </w:t>
      </w:r>
      <w:r w:rsidR="00E92862">
        <w:t>s</w:t>
      </w:r>
      <w:r w:rsidRPr="004A23F3" w:rsidR="004A23F3">
        <w:t>ection 2.903(</w:t>
      </w:r>
      <w:r w:rsidR="00451FE2">
        <w:t>d</w:t>
      </w:r>
      <w:r w:rsidRPr="004A23F3" w:rsidR="004A23F3">
        <w:t>) of the Commission’s rules.</w:t>
      </w:r>
      <w:r>
        <w:rPr>
          <w:rStyle w:val="FootnoteReference"/>
        </w:rPr>
        <w:footnoteReference w:id="24"/>
      </w:r>
      <w:r w:rsidR="004A23F3">
        <w:t xml:space="preserve">  </w:t>
      </w:r>
      <w:r w:rsidRPr="004A23F3" w:rsidR="004A23F3">
        <w:t xml:space="preserve">However, </w:t>
      </w:r>
      <w:r w:rsidR="00EC327A">
        <w:t xml:space="preserve">the document </w:t>
      </w:r>
      <w:r w:rsidRPr="004A23F3" w:rsidR="004A23F3">
        <w:t xml:space="preserve">did not include a list of Zhejiang Dahua’s affiliates and subsidiaries that </w:t>
      </w:r>
      <w:r w:rsidR="004A23F3">
        <w:t>produce “</w:t>
      </w:r>
      <w:r w:rsidRPr="004A23F3" w:rsidR="004A23F3">
        <w:t>covered</w:t>
      </w:r>
      <w:r w:rsidR="004A23F3">
        <w:t xml:space="preserve">” </w:t>
      </w:r>
      <w:r w:rsidRPr="004A23F3" w:rsidR="004A23F3">
        <w:t>equipment</w:t>
      </w:r>
      <w:r w:rsidR="00E92862">
        <w:t xml:space="preserve"> along with their respective c</w:t>
      </w:r>
      <w:r w:rsidR="00905558">
        <w:t>ontact information</w:t>
      </w:r>
      <w:r w:rsidR="00EC327A">
        <w:t>, as required under section 2.903</w:t>
      </w:r>
      <w:r w:rsidR="00607BF8">
        <w:t>(</w:t>
      </w:r>
      <w:r w:rsidR="00451FE2">
        <w:t>d</w:t>
      </w:r>
      <w:r w:rsidR="00607BF8">
        <w:t>)</w:t>
      </w:r>
      <w:r w:rsidR="00341B28">
        <w:t xml:space="preserve"> of the Commission’s rules</w:t>
      </w:r>
      <w:r w:rsidR="00F61F37">
        <w:t>.</w:t>
      </w:r>
      <w:r>
        <w:rPr>
          <w:rStyle w:val="FootnoteReference"/>
        </w:rPr>
        <w:footnoteReference w:id="25"/>
      </w:r>
    </w:p>
    <w:p w:rsidR="00B17695" w:rsidP="003C0F4F" w14:paraId="3B0BBC2F" w14:textId="35848A64">
      <w:pPr>
        <w:pStyle w:val="ParaNum0"/>
        <w:widowControl/>
      </w:pPr>
      <w:r>
        <w:t xml:space="preserve">On March 21, 2025, the Commission announced investigations into several </w:t>
      </w:r>
      <w:r w:rsidR="00A75DC9">
        <w:t xml:space="preserve">entities </w:t>
      </w:r>
      <w:r w:rsidR="00C90D6E">
        <w:t xml:space="preserve">identified </w:t>
      </w:r>
      <w:r w:rsidR="00A75DC9">
        <w:t xml:space="preserve">on the </w:t>
      </w:r>
      <w:r>
        <w:t>Covered List</w:t>
      </w:r>
      <w:r w:rsidR="00A75DC9">
        <w:t xml:space="preserve">, </w:t>
      </w:r>
      <w:r>
        <w:t>including Zhejiang Dahua.</w:t>
      </w:r>
      <w:r>
        <w:rPr>
          <w:rStyle w:val="FootnoteReference"/>
        </w:rPr>
        <w:footnoteReference w:id="26"/>
      </w:r>
      <w:r w:rsidR="00C943A5">
        <w:t xml:space="preserve"> </w:t>
      </w:r>
      <w:r>
        <w:t xml:space="preserve"> As part of th</w:t>
      </w:r>
      <w:r w:rsidR="00A75DC9">
        <w:t>e</w:t>
      </w:r>
      <w:r>
        <w:t xml:space="preserve"> investigation, </w:t>
      </w:r>
      <w:r w:rsidR="00BE321F">
        <w:t xml:space="preserve">in response to </w:t>
      </w:r>
      <w:r w:rsidR="00B97CFA">
        <w:t>t</w:t>
      </w:r>
      <w:r w:rsidR="00BE321F">
        <w:t xml:space="preserve">he </w:t>
      </w:r>
      <w:r w:rsidR="00B97CFA">
        <w:t>E</w:t>
      </w:r>
      <w:r w:rsidR="00BE321F">
        <w:t>nforcement Bureau’s letter of inquiry</w:t>
      </w:r>
      <w:r w:rsidR="00EC3FFD">
        <w:t>,</w:t>
      </w:r>
      <w:r>
        <w:rPr>
          <w:rStyle w:val="FootnoteReference"/>
        </w:rPr>
        <w:footnoteReference w:id="27"/>
      </w:r>
      <w:r w:rsidR="00BE321F">
        <w:t xml:space="preserve"> </w:t>
      </w:r>
      <w:r>
        <w:t>Zhejiang Dahua submitted a</w:t>
      </w:r>
      <w:r w:rsidR="005C75E6">
        <w:t>n initial</w:t>
      </w:r>
      <w:r>
        <w:t xml:space="preserve"> list of its affiliates and subsidiaries</w:t>
      </w:r>
      <w:r w:rsidR="00495FFC">
        <w:t xml:space="preserve"> on</w:t>
      </w:r>
      <w:r w:rsidR="005C75E6">
        <w:t xml:space="preserve"> M</w:t>
      </w:r>
      <w:r w:rsidR="00D469FE">
        <w:t>a</w:t>
      </w:r>
      <w:r w:rsidR="005C75E6">
        <w:t>rch 19, 202</w:t>
      </w:r>
      <w:r w:rsidR="00D469FE">
        <w:t>5</w:t>
      </w:r>
      <w:r w:rsidR="006F6648">
        <w:t>,</w:t>
      </w:r>
      <w:r>
        <w:rPr>
          <w:rStyle w:val="FootnoteReference"/>
        </w:rPr>
        <w:footnoteReference w:id="28"/>
      </w:r>
      <w:r w:rsidR="000153B7">
        <w:t xml:space="preserve"> and </w:t>
      </w:r>
      <w:r w:rsidR="00EE3009">
        <w:t>su</w:t>
      </w:r>
      <w:r w:rsidR="000153B7">
        <w:t>pplemente</w:t>
      </w:r>
      <w:r w:rsidR="00C353F3">
        <w:t>d</w:t>
      </w:r>
      <w:r w:rsidR="000153B7">
        <w:t xml:space="preserve"> its listing on May 16, 2025.</w:t>
      </w:r>
      <w:r>
        <w:rPr>
          <w:rStyle w:val="FootnoteReference"/>
        </w:rPr>
        <w:footnoteReference w:id="29"/>
      </w:r>
      <w:r w:rsidR="000153B7">
        <w:t xml:space="preserve">  </w:t>
      </w:r>
      <w:r w:rsidRPr="00942E88" w:rsidR="00942E88">
        <w:t xml:space="preserve">These submissions were neither made publicly available nor filed in accordance with </w:t>
      </w:r>
      <w:r w:rsidR="00942E88">
        <w:t>s</w:t>
      </w:r>
      <w:r w:rsidRPr="00942E88" w:rsidR="00942E88">
        <w:t>ection 2.903(</w:t>
      </w:r>
      <w:r w:rsidR="00451FE2">
        <w:t>d</w:t>
      </w:r>
      <w:r w:rsidRPr="00942E88" w:rsidR="00942E88">
        <w:t>) of the Commission’s rules</w:t>
      </w:r>
      <w:r w:rsidR="00C353F3">
        <w:t>.</w:t>
      </w:r>
      <w:r>
        <w:rPr>
          <w:rStyle w:val="FootnoteReference"/>
        </w:rPr>
        <w:footnoteReference w:id="30"/>
      </w:r>
      <w:r w:rsidR="004E3913">
        <w:t xml:space="preserve">  I</w:t>
      </w:r>
      <w:r w:rsidRPr="004E3913" w:rsidR="004E3913">
        <w:t>n fact, Zhejian</w:t>
      </w:r>
      <w:r w:rsidR="004E3913">
        <w:t>g</w:t>
      </w:r>
      <w:r w:rsidRPr="004E3913" w:rsidR="004E3913">
        <w:t xml:space="preserve"> Dahua sought confidential treatment for these submissions, including the lists of affiliates and subsidiaries.</w:t>
      </w:r>
      <w:r>
        <w:rPr>
          <w:rStyle w:val="FootnoteReference"/>
        </w:rPr>
        <w:footnoteReference w:id="31"/>
      </w:r>
      <w:r w:rsidR="000D3D44">
        <w:t xml:space="preserve"> Subsequently, on September 22, 2025, Zhejiang Dahua submitted a list of its subsidiaries and affiliates and their contact information pursuant to section 2.903(</w:t>
      </w:r>
      <w:r w:rsidR="00451FE2">
        <w:t>d</w:t>
      </w:r>
      <w:r w:rsidR="000D3D44">
        <w:t>) of the Commission’s rules.</w:t>
      </w:r>
      <w:r>
        <w:rPr>
          <w:rStyle w:val="FootnoteReference"/>
        </w:rPr>
        <w:footnoteReference w:id="32"/>
      </w:r>
    </w:p>
    <w:p w:rsidR="008F6A19" w:rsidRPr="00751B9D" w:rsidP="003C0F4F" w14:paraId="17BEFE7E" w14:textId="688A4478">
      <w:pPr>
        <w:pStyle w:val="Heading1"/>
        <w:widowControl/>
      </w:pPr>
      <w:r w:rsidRPr="00751B9D">
        <w:t>DISCUSSION</w:t>
      </w:r>
    </w:p>
    <w:p w:rsidR="00E35AB7" w:rsidRPr="009914FD" w:rsidP="0050028D" w14:paraId="39502590" w14:textId="6FEDA51F">
      <w:pPr>
        <w:pStyle w:val="ParaNum0"/>
        <w:widowControl/>
        <w:rPr>
          <w:color w:val="000000" w:themeColor="text1"/>
          <w:spacing w:val="-2"/>
          <w:szCs w:val="22"/>
        </w:rPr>
      </w:pPr>
      <w:r w:rsidRPr="00E35AB7">
        <w:rPr>
          <w:color w:val="000000" w:themeColor="text1"/>
          <w:spacing w:val="-2"/>
          <w:szCs w:val="22"/>
        </w:rPr>
        <w:t>We find that Zhejiang Dahua</w:t>
      </w:r>
      <w:r w:rsidRPr="00E35AB7">
        <w:rPr>
          <w:color w:val="000000" w:themeColor="text1"/>
          <w:szCs w:val="22"/>
        </w:rPr>
        <w:t xml:space="preserve"> </w:t>
      </w:r>
      <w:r w:rsidR="00B03785">
        <w:rPr>
          <w:color w:val="000000" w:themeColor="text1"/>
          <w:szCs w:val="22"/>
        </w:rPr>
        <w:t>app</w:t>
      </w:r>
      <w:r w:rsidR="00211020">
        <w:rPr>
          <w:color w:val="000000" w:themeColor="text1"/>
          <w:szCs w:val="22"/>
        </w:rPr>
        <w:t xml:space="preserve">arently </w:t>
      </w:r>
      <w:r w:rsidRPr="00E35AB7">
        <w:rPr>
          <w:color w:val="000000" w:themeColor="text1"/>
          <w:szCs w:val="22"/>
        </w:rPr>
        <w:t xml:space="preserve">willfully </w:t>
      </w:r>
      <w:r w:rsidR="005C6170">
        <w:rPr>
          <w:color w:val="000000" w:themeColor="text1"/>
          <w:szCs w:val="22"/>
        </w:rPr>
        <w:t xml:space="preserve">and repeatedly </w:t>
      </w:r>
      <w:r w:rsidRPr="00E35AB7">
        <w:rPr>
          <w:color w:val="000000" w:themeColor="text1"/>
          <w:szCs w:val="22"/>
        </w:rPr>
        <w:t xml:space="preserve">violated </w:t>
      </w:r>
      <w:r>
        <w:t xml:space="preserve">section </w:t>
      </w:r>
      <w:r w:rsidRPr="007C436E">
        <w:t>2.903</w:t>
      </w:r>
      <w:r>
        <w:t>(</w:t>
      </w:r>
      <w:r w:rsidR="00451FE2">
        <w:t>d</w:t>
      </w:r>
      <w:r>
        <w:t>)</w:t>
      </w:r>
      <w:r w:rsidR="001E349C">
        <w:t xml:space="preserve"> </w:t>
      </w:r>
      <w:r>
        <w:t xml:space="preserve">of the Commission’s rules by failing to </w:t>
      </w:r>
      <w:r w:rsidR="00E63658">
        <w:t xml:space="preserve">timely </w:t>
      </w:r>
      <w:r>
        <w:t xml:space="preserve">submit </w:t>
      </w:r>
      <w:r w:rsidR="007B4E6F">
        <w:t>a list of</w:t>
      </w:r>
      <w:r w:rsidR="001D396F">
        <w:t xml:space="preserve"> its subsidiaries and affiliates</w:t>
      </w:r>
      <w:r w:rsidR="007B4E6F">
        <w:t xml:space="preserve"> and their contact information</w:t>
      </w:r>
      <w:r w:rsidR="00262700">
        <w:t>,</w:t>
      </w:r>
      <w:r w:rsidR="001D396F">
        <w:t xml:space="preserve"> as </w:t>
      </w:r>
      <w:r w:rsidR="005C6170">
        <w:t>required of all entities</w:t>
      </w:r>
      <w:r w:rsidR="00792C08">
        <w:t xml:space="preserve"> named</w:t>
      </w:r>
      <w:r w:rsidR="00C44B39">
        <w:t xml:space="preserve"> </w:t>
      </w:r>
      <w:r w:rsidR="005C6170">
        <w:t>on the Commission’s Covered List</w:t>
      </w:r>
      <w:r>
        <w:t>.</w:t>
      </w:r>
      <w:r>
        <w:rPr>
          <w:rStyle w:val="FootnoteReference"/>
        </w:rPr>
        <w:footnoteReference w:id="33"/>
      </w:r>
      <w:r w:rsidR="00C943A5">
        <w:t xml:space="preserve"> </w:t>
      </w:r>
      <w:r>
        <w:t xml:space="preserve"> The </w:t>
      </w:r>
      <w:r w:rsidR="007A0419">
        <w:t xml:space="preserve">filing </w:t>
      </w:r>
      <w:r>
        <w:t>was due on March 8, 2023</w:t>
      </w:r>
      <w:r w:rsidR="00262700">
        <w:t>,</w:t>
      </w:r>
      <w:r>
        <w:t xml:space="preserve"> and Zhejiang Dahua </w:t>
      </w:r>
      <w:r w:rsidR="006D795B">
        <w:t xml:space="preserve">made </w:t>
      </w:r>
      <w:r w:rsidR="00DC1E9C">
        <w:t xml:space="preserve">its </w:t>
      </w:r>
      <w:r>
        <w:t>filing</w:t>
      </w:r>
      <w:r w:rsidR="00D15FA1">
        <w:t xml:space="preserve"> pursuant </w:t>
      </w:r>
      <w:r w:rsidR="0051457D">
        <w:t>to section 2.903(</w:t>
      </w:r>
      <w:r w:rsidR="00451FE2">
        <w:t>d</w:t>
      </w:r>
      <w:r w:rsidR="0051457D">
        <w:t>) of the Commission’s rules</w:t>
      </w:r>
      <w:r w:rsidR="000F66BB">
        <w:t xml:space="preserve"> on September 22, 2025, after the Commission commenced its investigation</w:t>
      </w:r>
      <w:r>
        <w:t>.</w:t>
      </w:r>
      <w:r>
        <w:rPr>
          <w:rStyle w:val="FootnoteReference"/>
        </w:rPr>
        <w:footnoteReference w:id="34"/>
      </w:r>
      <w:r>
        <w:t xml:space="preserve">  </w:t>
      </w:r>
    </w:p>
    <w:p w:rsidR="00485105" w:rsidP="0050028D" w14:paraId="5075F6B8" w14:textId="0AE4775F">
      <w:pPr>
        <w:pStyle w:val="Heading2"/>
        <w:widowControl/>
      </w:pPr>
      <w:r>
        <w:t>Zh</w:t>
      </w:r>
      <w:r w:rsidR="006C43A6">
        <w:t xml:space="preserve">ejiang Dahua </w:t>
      </w:r>
      <w:r w:rsidR="002709B8">
        <w:t>Apparently Willfully and Repeatedly Violated Section 2.903(</w:t>
      </w:r>
      <w:r w:rsidR="00C5058F">
        <w:t>d</w:t>
      </w:r>
      <w:r w:rsidR="002709B8">
        <w:t xml:space="preserve">) of the </w:t>
      </w:r>
      <w:r w:rsidR="006C43A6">
        <w:t xml:space="preserve">Commission’s </w:t>
      </w:r>
      <w:r w:rsidR="002709B8">
        <w:t xml:space="preserve">Rules. </w:t>
      </w:r>
    </w:p>
    <w:p w:rsidR="00B53AE4" w:rsidP="0050028D" w14:paraId="4AEA41DE" w14:textId="61901FED">
      <w:pPr>
        <w:pStyle w:val="ParaNum0"/>
        <w:widowControl/>
      </w:pPr>
      <w:r w:rsidRPr="00426522">
        <w:t xml:space="preserve">All </w:t>
      </w:r>
      <w:r w:rsidR="00CD5F9D">
        <w:t>Named Entit</w:t>
      </w:r>
      <w:r w:rsidR="00D21806">
        <w:t xml:space="preserve">ies </w:t>
      </w:r>
      <w:r w:rsidR="00C04251">
        <w:t xml:space="preserve">are </w:t>
      </w:r>
      <w:r w:rsidRPr="00426522">
        <w:t xml:space="preserve">required to </w:t>
      </w:r>
      <w:r w:rsidRPr="00426522" w:rsidR="00953B8E">
        <w:t xml:space="preserve">submit to the Commission </w:t>
      </w:r>
      <w:r w:rsidR="0028566C">
        <w:t xml:space="preserve">contact information for the Named Entity in addition to </w:t>
      </w:r>
      <w:r w:rsidR="001F4F88">
        <w:t>a</w:t>
      </w:r>
      <w:r w:rsidR="00137B5C">
        <w:t xml:space="preserve"> </w:t>
      </w:r>
      <w:r w:rsidR="001F4F88">
        <w:t>comprehensive list of their associated entities</w:t>
      </w:r>
      <w:r w:rsidR="009874D9">
        <w:t>—which include subsidiaries and affiliates—</w:t>
      </w:r>
      <w:r w:rsidR="001F4F88">
        <w:t>that pro</w:t>
      </w:r>
      <w:r w:rsidR="00137B5C">
        <w:t xml:space="preserve">duce </w:t>
      </w:r>
      <w:r w:rsidR="005175B2">
        <w:t>“</w:t>
      </w:r>
      <w:r w:rsidR="00137B5C">
        <w:t>covered</w:t>
      </w:r>
      <w:r w:rsidR="005175B2">
        <w:t>”</w:t>
      </w:r>
      <w:r w:rsidR="00137B5C">
        <w:t xml:space="preserve"> equipment and their respective contact </w:t>
      </w:r>
      <w:r w:rsidR="00550B57">
        <w:t>information</w:t>
      </w:r>
      <w:r w:rsidR="00400B4E">
        <w:t>.</w:t>
      </w:r>
      <w:r>
        <w:rPr>
          <w:rStyle w:val="FootnoteReference"/>
        </w:rPr>
        <w:footnoteReference w:id="35"/>
      </w:r>
      <w:r w:rsidR="00C943A5">
        <w:t xml:space="preserve"> </w:t>
      </w:r>
      <w:r w:rsidR="004116FE">
        <w:t xml:space="preserve"> </w:t>
      </w:r>
      <w:r w:rsidR="00D5675E">
        <w:t xml:space="preserve">The Company, together with the other </w:t>
      </w:r>
      <w:r w:rsidR="007667F4">
        <w:t>Named Entities on the Cover</w:t>
      </w:r>
      <w:r w:rsidR="00947F7F">
        <w:t>e</w:t>
      </w:r>
      <w:r w:rsidR="007667F4">
        <w:t>d List</w:t>
      </w:r>
      <w:r w:rsidR="00256C6A">
        <w:t>,</w:t>
      </w:r>
      <w:r w:rsidR="007667F4">
        <w:t xml:space="preserve"> </w:t>
      </w:r>
      <w:r w:rsidR="00BA3DBE">
        <w:t xml:space="preserve">when the Commission adopted </w:t>
      </w:r>
      <w:r w:rsidR="00D4610E">
        <w:t xml:space="preserve">the </w:t>
      </w:r>
      <w:r w:rsidRPr="001918FD" w:rsidR="00D4610E">
        <w:rPr>
          <w:i/>
          <w:iCs/>
        </w:rPr>
        <w:t xml:space="preserve">2022 </w:t>
      </w:r>
      <w:r w:rsidR="00AB3051">
        <w:rPr>
          <w:i/>
          <w:iCs/>
        </w:rPr>
        <w:t>Equipment Authorization Security</w:t>
      </w:r>
      <w:r w:rsidRPr="001918FD" w:rsidR="00D4610E">
        <w:rPr>
          <w:i/>
          <w:iCs/>
        </w:rPr>
        <w:t xml:space="preserve"> Report and Order</w:t>
      </w:r>
      <w:r w:rsidR="00090DEB">
        <w:t xml:space="preserve">, </w:t>
      </w:r>
      <w:r w:rsidR="00BA3DBE">
        <w:t>were required</w:t>
      </w:r>
      <w:r w:rsidR="00090DEB">
        <w:t xml:space="preserve"> </w:t>
      </w:r>
      <w:r w:rsidR="00BA3DBE">
        <w:t>under section 2.903(</w:t>
      </w:r>
      <w:r w:rsidR="00C5058F">
        <w:t>d</w:t>
      </w:r>
      <w:r w:rsidR="00BA3DBE">
        <w:t>)(</w:t>
      </w:r>
      <w:r w:rsidR="00D5675E">
        <w:t>1)</w:t>
      </w:r>
      <w:r w:rsidR="00A111B1">
        <w:t xml:space="preserve"> </w:t>
      </w:r>
      <w:r w:rsidR="00D51950">
        <w:t>o</w:t>
      </w:r>
      <w:r w:rsidR="001E2669">
        <w:t>f the Commission’s rules to provide this information</w:t>
      </w:r>
      <w:r w:rsidRPr="001E2669" w:rsidR="001E2669">
        <w:t xml:space="preserve"> </w:t>
      </w:r>
      <w:r w:rsidR="001E2669">
        <w:t>by March 8, 202</w:t>
      </w:r>
      <w:r w:rsidR="006E13B9">
        <w:t>3</w:t>
      </w:r>
      <w:r w:rsidR="001E2669">
        <w:t xml:space="preserve">, </w:t>
      </w:r>
      <w:r w:rsidR="00275249">
        <w:t xml:space="preserve">and </w:t>
      </w:r>
      <w:r w:rsidR="001E2669">
        <w:t>to</w:t>
      </w:r>
      <w:r w:rsidR="00275249">
        <w:t xml:space="preserve"> </w:t>
      </w:r>
      <w:r w:rsidR="00367598">
        <w:t>submit updates</w:t>
      </w:r>
      <w:r w:rsidR="001E2669">
        <w:t xml:space="preserve"> </w:t>
      </w:r>
      <w:r w:rsidR="00275249">
        <w:t xml:space="preserve">within 30 days of </w:t>
      </w:r>
      <w:r>
        <w:t xml:space="preserve">any subsequent </w:t>
      </w:r>
      <w:r w:rsidR="00275249">
        <w:t xml:space="preserve">changes or </w:t>
      </w:r>
      <w:r>
        <w:t>modifications to the C</w:t>
      </w:r>
      <w:r w:rsidR="00275249">
        <w:t xml:space="preserve">overed </w:t>
      </w:r>
      <w:r>
        <w:t>L</w:t>
      </w:r>
      <w:r w:rsidR="00275249">
        <w:t>ist.</w:t>
      </w:r>
      <w:r>
        <w:rPr>
          <w:rStyle w:val="FootnoteReference"/>
        </w:rPr>
        <w:footnoteReference w:id="36"/>
      </w:r>
      <w:r w:rsidR="0078792D">
        <w:t xml:space="preserve">  </w:t>
      </w:r>
    </w:p>
    <w:p w:rsidR="006E13B9" w:rsidRPr="00426522" w:rsidP="003C0F4F" w14:paraId="41644BAB" w14:textId="6474F436">
      <w:pPr>
        <w:pStyle w:val="ParaNum0"/>
        <w:widowControl/>
      </w:pPr>
      <w:r>
        <w:t>Althoug</w:t>
      </w:r>
      <w:r w:rsidR="00FF41AF">
        <w:t>h</w:t>
      </w:r>
      <w:r w:rsidRPr="00E76B98" w:rsidR="00E76B98">
        <w:t xml:space="preserve"> </w:t>
      </w:r>
      <w:r w:rsidR="00FF41AF">
        <w:t xml:space="preserve">the </w:t>
      </w:r>
      <w:r w:rsidR="009929F1">
        <w:t>C</w:t>
      </w:r>
      <w:r w:rsidRPr="00E76B98" w:rsidR="00E76B98">
        <w:t xml:space="preserve">ompany acknowledged its </w:t>
      </w:r>
      <w:r w:rsidR="007B2F08">
        <w:t>responsibility</w:t>
      </w:r>
      <w:r w:rsidR="00A64C41">
        <w:t xml:space="preserve"> under section 2.903(</w:t>
      </w:r>
      <w:r w:rsidR="00C5058F">
        <w:t>d</w:t>
      </w:r>
      <w:r w:rsidR="00A64C41">
        <w:t>)</w:t>
      </w:r>
      <w:r w:rsidR="007B2F08">
        <w:t xml:space="preserve"> </w:t>
      </w:r>
      <w:r w:rsidR="00093B31">
        <w:t xml:space="preserve">when </w:t>
      </w:r>
      <w:r w:rsidR="009F185A">
        <w:t xml:space="preserve">notifying the Commission of </w:t>
      </w:r>
      <w:r w:rsidR="00CE0281">
        <w:t xml:space="preserve">its </w:t>
      </w:r>
      <w:r w:rsidRPr="00E76B98" w:rsidR="00E76B98">
        <w:t>divestiture of Dahua USA,</w:t>
      </w:r>
      <w:r w:rsidR="00FF41AF">
        <w:t xml:space="preserve"> </w:t>
      </w:r>
      <w:r w:rsidRPr="00E76B98" w:rsidR="00E76B98">
        <w:t xml:space="preserve">it nonetheless </w:t>
      </w:r>
      <w:r w:rsidR="00F01853">
        <w:t>failed to</w:t>
      </w:r>
      <w:r w:rsidR="001A0ABF">
        <w:t xml:space="preserve"> </w:t>
      </w:r>
      <w:r w:rsidR="000B07B1">
        <w:t xml:space="preserve">publicly </w:t>
      </w:r>
      <w:r w:rsidRPr="00E76B98" w:rsidR="00E76B98">
        <w:t>submit a complete list of its subsidiaries and affiliates</w:t>
      </w:r>
      <w:r w:rsidR="00A415A4">
        <w:t>,</w:t>
      </w:r>
      <w:r w:rsidRPr="00E76B98" w:rsidR="00E76B98">
        <w:t xml:space="preserve"> as required</w:t>
      </w:r>
      <w:r w:rsidR="00A415A4">
        <w:t xml:space="preserve"> by the C</w:t>
      </w:r>
      <w:r w:rsidR="00124612">
        <w:t>o</w:t>
      </w:r>
      <w:r w:rsidR="00A415A4">
        <w:t>mmissio</w:t>
      </w:r>
      <w:r w:rsidR="00124612">
        <w:t>n’s rules,</w:t>
      </w:r>
      <w:r w:rsidR="00F01853">
        <w:t xml:space="preserve"> along with their respective contact information</w:t>
      </w:r>
      <w:r w:rsidRPr="00E76B98" w:rsidR="00E76B98">
        <w:t>.</w:t>
      </w:r>
      <w:r>
        <w:rPr>
          <w:rStyle w:val="FootnoteReference"/>
        </w:rPr>
        <w:footnoteReference w:id="37"/>
      </w:r>
      <w:r w:rsidR="00F01853">
        <w:t xml:space="preserve">  </w:t>
      </w:r>
      <w:r w:rsidRPr="00544CD4" w:rsidR="00544CD4">
        <w:t xml:space="preserve">This noncompliance not only </w:t>
      </w:r>
      <w:r w:rsidR="002709B8">
        <w:t>constitute</w:t>
      </w:r>
      <w:r w:rsidR="00D92086">
        <w:t>d</w:t>
      </w:r>
      <w:r w:rsidR="002709B8">
        <w:t xml:space="preserve"> an apparent continuing violation of </w:t>
      </w:r>
      <w:r w:rsidR="002E7F59">
        <w:t>s</w:t>
      </w:r>
      <w:r w:rsidRPr="00544CD4" w:rsidR="00544CD4">
        <w:t>ection 2.903</w:t>
      </w:r>
      <w:r w:rsidR="00093B31">
        <w:t>(</w:t>
      </w:r>
      <w:r w:rsidR="00C5058F">
        <w:t>d</w:t>
      </w:r>
      <w:r w:rsidR="00093B31">
        <w:t>) of the C</w:t>
      </w:r>
      <w:r w:rsidR="00B326B1">
        <w:t>o</w:t>
      </w:r>
      <w:r w:rsidR="00093B31">
        <w:t>mmission</w:t>
      </w:r>
      <w:r w:rsidR="00B326B1">
        <w:t>’s rules</w:t>
      </w:r>
      <w:r w:rsidRPr="00544CD4" w:rsidR="00544CD4">
        <w:t xml:space="preserve">, but </w:t>
      </w:r>
      <w:r w:rsidR="002709B8">
        <w:t xml:space="preserve">it </w:t>
      </w:r>
      <w:r w:rsidRPr="00544CD4" w:rsidR="00544CD4">
        <w:t>also undermine</w:t>
      </w:r>
      <w:r w:rsidR="00D92086">
        <w:t>d</w:t>
      </w:r>
      <w:r w:rsidRPr="00544CD4" w:rsidR="00544CD4">
        <w:t xml:space="preserve"> the Commission’s broader mission</w:t>
      </w:r>
      <w:r w:rsidR="00552AE4">
        <w:t xml:space="preserve"> and statutory obligation</w:t>
      </w:r>
      <w:r w:rsidRPr="00544CD4" w:rsidR="00544CD4">
        <w:t xml:space="preserve"> to safeguard U.S. communications networks from insecure or untrustworthy equipment</w:t>
      </w:r>
      <w:r w:rsidR="00E76B98">
        <w:t>.</w:t>
      </w:r>
    </w:p>
    <w:p w:rsidR="006C43A6" w:rsidP="003C0F4F" w14:paraId="012138A5" w14:textId="117AB74B">
      <w:pPr>
        <w:pStyle w:val="Heading2"/>
        <w:widowControl/>
      </w:pPr>
      <w:r>
        <w:t>Proposed Forfeiture</w:t>
      </w:r>
      <w:r w:rsidR="005236EE">
        <w:t xml:space="preserve"> for Failure to Fi</w:t>
      </w:r>
      <w:r w:rsidR="00CB1DD0">
        <w:t xml:space="preserve">le </w:t>
      </w:r>
      <w:r w:rsidR="00184173">
        <w:t xml:space="preserve">the </w:t>
      </w:r>
      <w:r w:rsidR="00CB1DD0">
        <w:t>Required Disclosure</w:t>
      </w:r>
    </w:p>
    <w:p w:rsidR="005F533E" w:rsidP="0050028D" w14:paraId="4DFA4D97" w14:textId="38B3CD1B">
      <w:pPr>
        <w:pStyle w:val="ParaNum0"/>
        <w:widowControl/>
      </w:pPr>
      <w:r w:rsidRPr="00981F23">
        <w:t xml:space="preserve">Section 503(b) of the </w:t>
      </w:r>
      <w:r w:rsidR="00C37D25">
        <w:t>Communications Act of 1934, as amended (</w:t>
      </w:r>
      <w:r w:rsidRPr="00981F23">
        <w:t>Act</w:t>
      </w:r>
      <w:r w:rsidR="00C37D25">
        <w:t>),</w:t>
      </w:r>
      <w:r w:rsidRPr="00981F23">
        <w:t xml:space="preserve"> authorizes the Commission to impose a forfeiture against any entity that “willfully or repeatedly fail[s] to comply with any of the provisions of [the Act] or of any rule, regulation, or order issued by the </w:t>
      </w:r>
      <w:r w:rsidRPr="00A64A8F">
        <w:t>Commission[.]”</w:t>
      </w:r>
      <w:r>
        <w:rPr>
          <w:vertAlign w:val="superscript"/>
        </w:rPr>
        <w:footnoteReference w:id="38"/>
      </w:r>
      <w:r w:rsidRPr="00A64A8F">
        <w:t xml:space="preserve">  Here, section 503(b)(2)(D) of the Act</w:t>
      </w:r>
      <w:r w:rsidRPr="00A64A8F" w:rsidR="007F72D1">
        <w:t xml:space="preserve"> and </w:t>
      </w:r>
      <w:r w:rsidRPr="00A64A8F" w:rsidR="007F205F">
        <w:t xml:space="preserve">section </w:t>
      </w:r>
      <w:r w:rsidRPr="00A64A8F" w:rsidR="00A97E53">
        <w:t>1.80(b)(10)</w:t>
      </w:r>
      <w:r w:rsidRPr="00A64A8F">
        <w:t xml:space="preserve"> </w:t>
      </w:r>
      <w:r w:rsidRPr="00A64A8F" w:rsidR="007F205F">
        <w:t xml:space="preserve">of the Commission’s rules </w:t>
      </w:r>
      <w:r w:rsidRPr="00A64A8F">
        <w:t>authorize a forfeiture against Zhejiang Dahua of up to $25,132 for each day of a continuing violation, up to a statutory maximum of $188,491 for a single act or failure to act.</w:t>
      </w:r>
      <w:r>
        <w:rPr>
          <w:rStyle w:val="FootnoteReference"/>
          <w:color w:val="000000" w:themeColor="text1"/>
          <w:szCs w:val="22"/>
        </w:rPr>
        <w:footnoteReference w:id="39"/>
      </w:r>
      <w:r w:rsidRPr="00A64A8F">
        <w:t xml:space="preserve">  In exercising our forfeiture authority, we consider the “nature, circumstances, extent, and gravity of the violation and, with respect to the violator, the degree of culpability, any history of prior offenses, ability to pay, and such other matters as justice may require.”</w:t>
      </w:r>
      <w:r>
        <w:rPr>
          <w:rStyle w:val="FootnoteReference"/>
          <w:color w:val="000000" w:themeColor="text1"/>
          <w:szCs w:val="22"/>
        </w:rPr>
        <w:footnoteReference w:id="40"/>
      </w:r>
      <w:r w:rsidRPr="00A64A8F">
        <w:rPr>
          <w:spacing w:val="-2"/>
        </w:rPr>
        <w:t xml:space="preserve">  </w:t>
      </w:r>
      <w:r w:rsidRPr="00A64A8F">
        <w:t>In addition, the Commission has established forfeiture</w:t>
      </w:r>
      <w:r w:rsidRPr="00981F23">
        <w:t xml:space="preserve"> guidelines</w:t>
      </w:r>
      <w:r w:rsidR="005A5582">
        <w:t xml:space="preserve"> which provide</w:t>
      </w:r>
      <w:r w:rsidRPr="00981F23">
        <w:t xml:space="preserve"> base penalties for certain violations and identify criteria that we consider when determining the appropriate penalty in any given case.</w:t>
      </w:r>
      <w:r>
        <w:rPr>
          <w:rStyle w:val="FootnoteReference"/>
          <w:color w:val="000000" w:themeColor="text1"/>
        </w:rPr>
        <w:footnoteReference w:id="41"/>
      </w:r>
      <w:r w:rsidRPr="00981F23">
        <w:t xml:space="preserve">  Under these guidelines, we may adjust a forfeiture upward for violations that are egregious, intentional, or repeated, or that cause substantial harm or generate substantial economic gain for the violator.</w:t>
      </w:r>
      <w:r>
        <w:rPr>
          <w:rStyle w:val="FootnoteReference"/>
          <w:color w:val="000000" w:themeColor="text1"/>
        </w:rPr>
        <w:footnoteReference w:id="42"/>
      </w:r>
      <w:r w:rsidRPr="00981F23">
        <w:t xml:space="preserve">  </w:t>
      </w:r>
    </w:p>
    <w:p w:rsidR="00E92C5A" w:rsidP="0050028D" w14:paraId="6574CC5B" w14:textId="5902A9AD">
      <w:pPr>
        <w:pStyle w:val="ParaNum0"/>
        <w:widowControl/>
      </w:pPr>
      <w:r>
        <w:t xml:space="preserve">Section 1.80(b) of the Commission’s rules sets a base forfeiture of $3,000 </w:t>
      </w:r>
      <w:r w:rsidR="00D278D6">
        <w:t>for failing to file required forms or information for each violation or each day of a continuing violation.</w:t>
      </w:r>
      <w:r>
        <w:rPr>
          <w:rStyle w:val="FootnoteReference"/>
        </w:rPr>
        <w:footnoteReference w:id="43"/>
      </w:r>
      <w:r w:rsidR="00D278D6">
        <w:t xml:space="preserve">  </w:t>
      </w:r>
      <w:r w:rsidR="004C7685">
        <w:t xml:space="preserve">In this instance, </w:t>
      </w:r>
      <w:r w:rsidR="00D53AD2">
        <w:t xml:space="preserve">Zhejiang Dahua failed </w:t>
      </w:r>
      <w:r w:rsidR="00D43C77">
        <w:t xml:space="preserve">to </w:t>
      </w:r>
      <w:r w:rsidRPr="00426522" w:rsidR="006F5419">
        <w:t>submit</w:t>
      </w:r>
      <w:r w:rsidRPr="00426522" w:rsidR="009E5C28">
        <w:t xml:space="preserve"> to the Commission </w:t>
      </w:r>
      <w:r w:rsidR="001D396F">
        <w:t xml:space="preserve">contact information for each of its subsidiaries and affiliates that produce covered communications equipment </w:t>
      </w:r>
      <w:r w:rsidR="003A04EC">
        <w:t xml:space="preserve">by March 8, 2023, </w:t>
      </w:r>
      <w:r w:rsidR="001D396F">
        <w:t xml:space="preserve">as required </w:t>
      </w:r>
      <w:r w:rsidR="001D396F">
        <w:t>by section 2.903(</w:t>
      </w:r>
      <w:r w:rsidR="00C5058F">
        <w:t>d</w:t>
      </w:r>
      <w:r w:rsidR="001D396F">
        <w:t>)</w:t>
      </w:r>
      <w:r w:rsidR="0070740C">
        <w:t>(1)</w:t>
      </w:r>
      <w:r w:rsidR="001D396F">
        <w:t xml:space="preserve"> of the Commission’s rules.</w:t>
      </w:r>
      <w:r>
        <w:rPr>
          <w:rStyle w:val="FootnoteReference"/>
        </w:rPr>
        <w:footnoteReference w:id="44"/>
      </w:r>
      <w:r w:rsidR="003A04EC">
        <w:t xml:space="preserve">  </w:t>
      </w:r>
      <w:r w:rsidR="00454EAF">
        <w:t>For purposes of the Act</w:t>
      </w:r>
      <w:r w:rsidR="00C37D25">
        <w:t>,</w:t>
      </w:r>
      <w:r w:rsidR="00454EAF">
        <w:t xml:space="preserve"> “continuing” is defined as continuing for more than one day.</w:t>
      </w:r>
      <w:r>
        <w:rPr>
          <w:rStyle w:val="FootnoteReference"/>
        </w:rPr>
        <w:footnoteReference w:id="45"/>
      </w:r>
      <w:r w:rsidR="00545EC5">
        <w:t xml:space="preserve">  </w:t>
      </w:r>
      <w:r w:rsidR="003B1C25">
        <w:t xml:space="preserve">Here, </w:t>
      </w:r>
      <w:r w:rsidR="00EB5905">
        <w:t>section</w:t>
      </w:r>
      <w:r w:rsidR="003B1C25">
        <w:t xml:space="preserve"> </w:t>
      </w:r>
      <w:r w:rsidRPr="00173F68" w:rsidR="003B1C25">
        <w:t>2.903(</w:t>
      </w:r>
      <w:r w:rsidR="00C5058F">
        <w:t>d</w:t>
      </w:r>
      <w:r w:rsidRPr="00173F68" w:rsidR="003B1C25">
        <w:t>)</w:t>
      </w:r>
      <w:r w:rsidR="003B1C25">
        <w:t xml:space="preserve"> </w:t>
      </w:r>
      <w:r w:rsidR="00AF4892">
        <w:t xml:space="preserve">of the Commission’s rules </w:t>
      </w:r>
      <w:r w:rsidR="003B1C25">
        <w:t>provides that e</w:t>
      </w:r>
      <w:r w:rsidRPr="00E32DF2" w:rsidR="003B1C25">
        <w:t xml:space="preserve">ach entity named on the Covered List must provide the </w:t>
      </w:r>
      <w:r w:rsidR="003B1C25">
        <w:t xml:space="preserve">specified </w:t>
      </w:r>
      <w:r w:rsidRPr="00E32DF2" w:rsidR="003B1C25">
        <w:t xml:space="preserve">information </w:t>
      </w:r>
      <w:r w:rsidR="003B1C25">
        <w:t>“</w:t>
      </w:r>
      <w:r w:rsidRPr="00E32DF2" w:rsidR="003B1C25">
        <w:t>no later than March 8, 2023</w:t>
      </w:r>
      <w:r w:rsidR="003B1C25">
        <w:t xml:space="preserve">” and further provides that each entity must notify </w:t>
      </w:r>
      <w:r w:rsidRPr="00E126F7" w:rsidR="003B1C25">
        <w:t xml:space="preserve">the Commission </w:t>
      </w:r>
      <w:r w:rsidR="003B1C25">
        <w:t>“</w:t>
      </w:r>
      <w:r w:rsidRPr="00E126F7" w:rsidR="003B1C25">
        <w:t xml:space="preserve">of any changes to the information </w:t>
      </w:r>
      <w:r w:rsidR="003B1C25">
        <w:t xml:space="preserve">. . . </w:t>
      </w:r>
      <w:r w:rsidRPr="00E126F7" w:rsidR="003B1C25">
        <w:t>no later than 30 days after such change occurs.</w:t>
      </w:r>
      <w:r w:rsidR="003B1C25">
        <w:t>”</w:t>
      </w:r>
      <w:r>
        <w:rPr>
          <w:rStyle w:val="FootnoteReference"/>
        </w:rPr>
        <w:footnoteReference w:id="46"/>
      </w:r>
      <w:r w:rsidR="003B1C25">
        <w:t xml:space="preserve">  </w:t>
      </w:r>
      <w:r w:rsidR="005223A4">
        <w:t xml:space="preserve">The requirement </w:t>
      </w:r>
      <w:r w:rsidR="003B1C25">
        <w:t xml:space="preserve">to provide information and to update that information </w:t>
      </w:r>
      <w:r w:rsidR="00CC4DAC">
        <w:t>is a continuing obligation</w:t>
      </w:r>
      <w:r w:rsidR="003B1C25">
        <w:t>.</w:t>
      </w:r>
      <w:r>
        <w:rPr>
          <w:rStyle w:val="FootnoteReference"/>
        </w:rPr>
        <w:footnoteReference w:id="47"/>
      </w:r>
      <w:r w:rsidR="00157139">
        <w:t xml:space="preserve"> </w:t>
      </w:r>
      <w:r w:rsidR="00C943A5">
        <w:t xml:space="preserve"> </w:t>
      </w:r>
      <w:r w:rsidR="00E142BC">
        <w:t xml:space="preserve">Here, </w:t>
      </w:r>
      <w:r w:rsidR="00434008">
        <w:t xml:space="preserve">an </w:t>
      </w:r>
      <w:r w:rsidR="007D0AAF">
        <w:t xml:space="preserve">ongoing </w:t>
      </w:r>
      <w:r w:rsidR="00A42FF8">
        <w:t xml:space="preserve">failure to provide the information in accordance with </w:t>
      </w:r>
      <w:r w:rsidR="00EF0A0A">
        <w:t>section 2.903</w:t>
      </w:r>
      <w:r w:rsidR="007830F1">
        <w:t>(</w:t>
      </w:r>
      <w:r w:rsidR="00C5058F">
        <w:t>d</w:t>
      </w:r>
      <w:r w:rsidR="007830F1">
        <w:t>)</w:t>
      </w:r>
      <w:r w:rsidR="00EF0A0A">
        <w:t xml:space="preserve"> </w:t>
      </w:r>
      <w:r w:rsidR="004E43DA">
        <w:t xml:space="preserve">of the Commission’s rules </w:t>
      </w:r>
      <w:r w:rsidR="00EF0A0A">
        <w:t xml:space="preserve">carries </w:t>
      </w:r>
      <w:r w:rsidR="00ED66F6">
        <w:t xml:space="preserve">significant </w:t>
      </w:r>
      <w:r w:rsidRPr="008E497C" w:rsidR="008E497C">
        <w:t>national security implications</w:t>
      </w:r>
      <w:r w:rsidR="00434008">
        <w:t xml:space="preserve"> because it deprives the </w:t>
      </w:r>
      <w:r w:rsidR="0048760B">
        <w:t xml:space="preserve">public and government stakeholders </w:t>
      </w:r>
      <w:r w:rsidR="00E94A36">
        <w:t>of</w:t>
      </w:r>
      <w:r w:rsidR="0048760B">
        <w:t xml:space="preserve"> </w:t>
      </w:r>
      <w:r w:rsidR="00AB41C1">
        <w:t xml:space="preserve">information about subsidiaries and </w:t>
      </w:r>
      <w:r w:rsidR="009C19B5">
        <w:t>affiliates subject to Covered List restrictions</w:t>
      </w:r>
      <w:r w:rsidR="00EF0A0A">
        <w:t xml:space="preserve">.  </w:t>
      </w:r>
      <w:r w:rsidR="007830F1">
        <w:t xml:space="preserve">Only after the Commission </w:t>
      </w:r>
      <w:r w:rsidR="00FB0E2F">
        <w:t xml:space="preserve">commenced its investigation did </w:t>
      </w:r>
      <w:r w:rsidR="00A41A3F">
        <w:t xml:space="preserve">Zhejiang Dahua </w:t>
      </w:r>
      <w:r w:rsidR="00A10F03">
        <w:t>submit</w:t>
      </w:r>
      <w:r w:rsidR="00A41A3F">
        <w:t xml:space="preserve"> a list of its affiliates and subsidiaries, along with their respective contact information, in accorda</w:t>
      </w:r>
      <w:r w:rsidR="006F690F">
        <w:t>nce with s</w:t>
      </w:r>
      <w:r w:rsidR="00A41A3F">
        <w:t>ection 2.903(</w:t>
      </w:r>
      <w:r w:rsidR="00C5058F">
        <w:t>d</w:t>
      </w:r>
      <w:r w:rsidR="00A41A3F">
        <w:t>) of the Commission’s rules</w:t>
      </w:r>
      <w:r w:rsidR="00E0181B">
        <w:t xml:space="preserve">.  As a result, </w:t>
      </w:r>
      <w:r w:rsidR="002D10AC">
        <w:t xml:space="preserve">its </w:t>
      </w:r>
      <w:r w:rsidR="002D10AC">
        <w:t>apparent violation of section 2.903(</w:t>
      </w:r>
      <w:r w:rsidR="00C5058F">
        <w:t>d</w:t>
      </w:r>
      <w:r w:rsidR="002D10AC">
        <w:t xml:space="preserve">) </w:t>
      </w:r>
      <w:r w:rsidR="00EC5054">
        <w:t xml:space="preserve">of the Commission’s rules </w:t>
      </w:r>
      <w:r w:rsidR="00E57DD3">
        <w:t>continued from March 8, 2023</w:t>
      </w:r>
      <w:r w:rsidR="0087231B">
        <w:t>,</w:t>
      </w:r>
      <w:r w:rsidR="00E57DD3">
        <w:t xml:space="preserve"> until September 22, 2025</w:t>
      </w:r>
      <w:r w:rsidR="00954B4D">
        <w:t xml:space="preserve">, a period of more than two </w:t>
      </w:r>
      <w:r w:rsidR="00BE6CBD">
        <w:t>and a half years</w:t>
      </w:r>
      <w:r w:rsidR="00A41A3F">
        <w:t>.</w:t>
      </w:r>
      <w:r>
        <w:rPr>
          <w:rStyle w:val="FootnoteReference"/>
        </w:rPr>
        <w:footnoteReference w:id="48"/>
      </w:r>
      <w:r w:rsidR="00DA5C69">
        <w:t xml:space="preserve">  </w:t>
      </w:r>
    </w:p>
    <w:p w:rsidR="00B80515" w:rsidRPr="000A2DEF" w:rsidP="003C0F4F" w14:paraId="36F945AF" w14:textId="012BC0B3">
      <w:pPr>
        <w:pStyle w:val="ParaNum0"/>
        <w:keepNext/>
        <w:widowControl/>
      </w:pPr>
      <w:r>
        <w:t xml:space="preserve">Zhejiang Dahua’s failure to </w:t>
      </w:r>
      <w:r w:rsidR="00891189">
        <w:t xml:space="preserve">file </w:t>
      </w:r>
      <w:r w:rsidR="006F230F">
        <w:t xml:space="preserve">the </w:t>
      </w:r>
      <w:r w:rsidR="008B2472">
        <w:t xml:space="preserve">required information </w:t>
      </w:r>
      <w:r w:rsidR="00891189">
        <w:t>publicly</w:t>
      </w:r>
      <w:r w:rsidR="00BE6CBD">
        <w:t xml:space="preserve"> by March 8, 2023</w:t>
      </w:r>
      <w:r w:rsidR="002C2ADE">
        <w:t>,</w:t>
      </w:r>
      <w:r w:rsidR="00891189">
        <w:t xml:space="preserve"> as mandated by the </w:t>
      </w:r>
      <w:r w:rsidR="00E52894">
        <w:t>Commission’s rules</w:t>
      </w:r>
      <w:r w:rsidR="002C2ADE">
        <w:t>,</w:t>
      </w:r>
      <w:r w:rsidR="00891189">
        <w:t xml:space="preserve"> </w:t>
      </w:r>
      <w:r w:rsidR="00F67401">
        <w:t xml:space="preserve">constitutes </w:t>
      </w:r>
      <w:r>
        <w:t>a</w:t>
      </w:r>
      <w:r w:rsidR="002D10AC">
        <w:t>n apparent</w:t>
      </w:r>
      <w:r>
        <w:t xml:space="preserve"> continuing violation</w:t>
      </w:r>
      <w:r w:rsidR="007D7E04">
        <w:t>.</w:t>
      </w:r>
      <w:r>
        <w:rPr>
          <w:rStyle w:val="FootnoteReference"/>
        </w:rPr>
        <w:footnoteReference w:id="49"/>
      </w:r>
      <w:r w:rsidR="00D61E98">
        <w:t xml:space="preserve"> </w:t>
      </w:r>
      <w:r w:rsidR="00C943A5">
        <w:t xml:space="preserve"> </w:t>
      </w:r>
      <w:r w:rsidR="00D61E98">
        <w:t xml:space="preserve">As </w:t>
      </w:r>
      <w:r w:rsidR="006F230F">
        <w:t xml:space="preserve">a result, the Company </w:t>
      </w:r>
      <w:r w:rsidR="00A52C77">
        <w:t xml:space="preserve">is liable for a </w:t>
      </w:r>
      <w:r w:rsidR="00990411">
        <w:t xml:space="preserve">forfeiture of </w:t>
      </w:r>
      <w:r w:rsidR="00A52C77">
        <w:t xml:space="preserve">$3,000 </w:t>
      </w:r>
      <w:r w:rsidR="00990411">
        <w:t xml:space="preserve">for each day </w:t>
      </w:r>
      <w:r w:rsidR="00FD4A42">
        <w:t xml:space="preserve">of that </w:t>
      </w:r>
      <w:r w:rsidR="005D47F8">
        <w:t xml:space="preserve">apparent continuing </w:t>
      </w:r>
      <w:r w:rsidR="00FD4A42">
        <w:t>violation</w:t>
      </w:r>
      <w:r w:rsidR="006B5681">
        <w:t xml:space="preserve">.  </w:t>
      </w:r>
      <w:r w:rsidR="00550D98">
        <w:t xml:space="preserve">When this base forfeiture is applied on a per-day basis starting on March 8, 2023, </w:t>
      </w:r>
      <w:r w:rsidR="0029374F">
        <w:t>we quickly reach our statutory maximum penalty under section 503(b)(</w:t>
      </w:r>
      <w:r w:rsidR="00422A95">
        <w:t>2</w:t>
      </w:r>
      <w:r w:rsidR="0029374F">
        <w:t>)(D)</w:t>
      </w:r>
      <w:r w:rsidR="00422A95">
        <w:t xml:space="preserve"> of the Act.</w:t>
      </w:r>
      <w:r>
        <w:rPr>
          <w:rStyle w:val="FootnoteReference"/>
        </w:rPr>
        <w:footnoteReference w:id="50"/>
      </w:r>
      <w:r w:rsidR="00422A95">
        <w:t xml:space="preserve">  Accordingly, </w:t>
      </w:r>
      <w:r w:rsidR="003D744A">
        <w:t xml:space="preserve">we propose </w:t>
      </w:r>
      <w:r w:rsidR="00E37F63">
        <w:t xml:space="preserve">the </w:t>
      </w:r>
      <w:r w:rsidR="00020009">
        <w:t xml:space="preserve">statutory </w:t>
      </w:r>
      <w:r w:rsidR="00E37F63">
        <w:t xml:space="preserve">maximum </w:t>
      </w:r>
      <w:r w:rsidR="00020009">
        <w:t xml:space="preserve">forfeiture </w:t>
      </w:r>
      <w:r w:rsidR="00E37F63">
        <w:t>of $188,491</w:t>
      </w:r>
      <w:r w:rsidR="003D744A">
        <w:t xml:space="preserve"> for Zhejiang Dahnua’s apparent continuing violation of </w:t>
      </w:r>
      <w:r w:rsidR="00816747">
        <w:t>section 2.903(</w:t>
      </w:r>
      <w:r w:rsidR="00C5058F">
        <w:t>d</w:t>
      </w:r>
      <w:r w:rsidR="00816747">
        <w:t xml:space="preserve">) of the Commission’s rules.  </w:t>
      </w:r>
      <w:r w:rsidR="003A736B">
        <w:t xml:space="preserve">Since </w:t>
      </w:r>
      <w:r w:rsidR="00816747">
        <w:t xml:space="preserve">the application of the base forfeiture </w:t>
      </w:r>
      <w:r w:rsidR="007D763A">
        <w:t xml:space="preserve">on a per-day basis for the duration of the apparent violation would exceed the statutory </w:t>
      </w:r>
      <w:r w:rsidR="008F7F90">
        <w:t>maximum</w:t>
      </w:r>
      <w:r w:rsidR="00801004">
        <w:t>,</w:t>
      </w:r>
      <w:r w:rsidR="008F7F90">
        <w:t xml:space="preserve"> we </w:t>
      </w:r>
      <w:r w:rsidR="00801004">
        <w:t xml:space="preserve">do </w:t>
      </w:r>
      <w:r w:rsidR="00F91EF0">
        <w:t xml:space="preserve">not consider whether </w:t>
      </w:r>
      <w:r w:rsidR="008F7F90">
        <w:t xml:space="preserve">any </w:t>
      </w:r>
      <w:r w:rsidR="007D7E04">
        <w:t>factors</w:t>
      </w:r>
      <w:r w:rsidR="008F7F90">
        <w:t xml:space="preserve"> for upward adjustment </w:t>
      </w:r>
      <w:r w:rsidR="001807A5">
        <w:t>are warranted</w:t>
      </w:r>
      <w:r w:rsidR="008F7F90">
        <w:t>.</w:t>
      </w:r>
      <w:r w:rsidR="000A2DEF">
        <w:t xml:space="preserve">  </w:t>
      </w:r>
      <w:r w:rsidRPr="00981F23" w:rsidR="008F7F90">
        <w:t xml:space="preserve">In </w:t>
      </w:r>
      <w:r w:rsidR="00A27F7A">
        <w:t xml:space="preserve">evaluating the </w:t>
      </w:r>
      <w:r w:rsidRPr="00981F23" w:rsidR="008F7F90">
        <w:t>statutory factors</w:t>
      </w:r>
      <w:r w:rsidR="005C7BA9">
        <w:t xml:space="preserve"> for a potential </w:t>
      </w:r>
      <w:r w:rsidRPr="00981F23" w:rsidR="008F7F90">
        <w:t>downward adjustment</w:t>
      </w:r>
      <w:r w:rsidR="00135790">
        <w:t>, we find no basis to reduce the proposed forfeiture amount</w:t>
      </w:r>
      <w:r w:rsidRPr="000A2DEF" w:rsidR="008F7F90">
        <w:rPr>
          <w:color w:val="000000" w:themeColor="text1"/>
          <w:szCs w:val="22"/>
        </w:rPr>
        <w:t>.</w:t>
      </w:r>
      <w:r w:rsidR="00135790">
        <w:rPr>
          <w:color w:val="000000" w:themeColor="text1"/>
          <w:szCs w:val="22"/>
        </w:rPr>
        <w:t xml:space="preserve">  </w:t>
      </w:r>
      <w:r w:rsidR="00C676BA">
        <w:rPr>
          <w:color w:val="000000" w:themeColor="text1"/>
          <w:szCs w:val="22"/>
        </w:rPr>
        <w:t xml:space="preserve">Specifically, there is no indication that Zhejiang Dahua acted in </w:t>
      </w:r>
      <w:r w:rsidRPr="000A2DEF" w:rsidR="0069291B">
        <w:rPr>
          <w:color w:val="000000" w:themeColor="text1"/>
          <w:szCs w:val="22"/>
        </w:rPr>
        <w:t>good faith</w:t>
      </w:r>
      <w:r w:rsidR="00333691">
        <w:rPr>
          <w:color w:val="000000" w:themeColor="text1"/>
          <w:szCs w:val="22"/>
        </w:rPr>
        <w:t xml:space="preserve"> in failing to meet the March 8, </w:t>
      </w:r>
      <w:r w:rsidR="00333691">
        <w:rPr>
          <w:color w:val="000000" w:themeColor="text1"/>
          <w:szCs w:val="22"/>
        </w:rPr>
        <w:t>2023</w:t>
      </w:r>
      <w:r w:rsidR="00333691">
        <w:rPr>
          <w:color w:val="000000" w:themeColor="text1"/>
          <w:szCs w:val="22"/>
        </w:rPr>
        <w:t xml:space="preserve"> deadline</w:t>
      </w:r>
      <w:r w:rsidRPr="000A2DEF" w:rsidR="0069291B">
        <w:rPr>
          <w:color w:val="000000" w:themeColor="text1"/>
          <w:szCs w:val="22"/>
        </w:rPr>
        <w:t xml:space="preserve">, </w:t>
      </w:r>
      <w:r w:rsidR="005C6600">
        <w:rPr>
          <w:color w:val="000000" w:themeColor="text1"/>
          <w:szCs w:val="22"/>
        </w:rPr>
        <w:t xml:space="preserve">and </w:t>
      </w:r>
      <w:r w:rsidR="00C676BA">
        <w:rPr>
          <w:color w:val="000000" w:themeColor="text1"/>
          <w:szCs w:val="22"/>
        </w:rPr>
        <w:t>the</w:t>
      </w:r>
      <w:r w:rsidR="005E086F">
        <w:rPr>
          <w:color w:val="000000" w:themeColor="text1"/>
          <w:szCs w:val="22"/>
        </w:rPr>
        <w:t xml:space="preserve"> </w:t>
      </w:r>
      <w:r w:rsidR="005C6600">
        <w:rPr>
          <w:color w:val="000000" w:themeColor="text1"/>
          <w:szCs w:val="22"/>
        </w:rPr>
        <w:t xml:space="preserve">Company’s apparent </w:t>
      </w:r>
      <w:r w:rsidR="005E086F">
        <w:rPr>
          <w:color w:val="000000" w:themeColor="text1"/>
          <w:szCs w:val="22"/>
        </w:rPr>
        <w:t>v</w:t>
      </w:r>
      <w:r w:rsidRPr="000A2DEF" w:rsidR="0069291B">
        <w:rPr>
          <w:color w:val="000000" w:themeColor="text1"/>
          <w:szCs w:val="22"/>
        </w:rPr>
        <w:t xml:space="preserve">iolation </w:t>
      </w:r>
      <w:r w:rsidR="00BE3972">
        <w:rPr>
          <w:color w:val="000000" w:themeColor="text1"/>
          <w:szCs w:val="22"/>
        </w:rPr>
        <w:t>wa</w:t>
      </w:r>
      <w:r w:rsidR="005E086F">
        <w:rPr>
          <w:color w:val="000000" w:themeColor="text1"/>
          <w:szCs w:val="22"/>
        </w:rPr>
        <w:t xml:space="preserve">s </w:t>
      </w:r>
      <w:r w:rsidR="004A2002">
        <w:rPr>
          <w:color w:val="000000" w:themeColor="text1"/>
          <w:szCs w:val="22"/>
        </w:rPr>
        <w:t xml:space="preserve">substantial </w:t>
      </w:r>
      <w:r w:rsidR="00A4400E">
        <w:rPr>
          <w:color w:val="000000" w:themeColor="text1"/>
          <w:szCs w:val="22"/>
        </w:rPr>
        <w:t>considering</w:t>
      </w:r>
      <w:r w:rsidR="00B14F64">
        <w:rPr>
          <w:color w:val="000000" w:themeColor="text1"/>
          <w:szCs w:val="22"/>
        </w:rPr>
        <w:t xml:space="preserve"> the national security implications</w:t>
      </w:r>
      <w:r w:rsidR="0092051A">
        <w:rPr>
          <w:color w:val="000000" w:themeColor="text1"/>
          <w:szCs w:val="22"/>
        </w:rPr>
        <w:t xml:space="preserve"> and the length of time</w:t>
      </w:r>
      <w:r w:rsidR="008D3A40">
        <w:rPr>
          <w:color w:val="000000" w:themeColor="text1"/>
          <w:szCs w:val="22"/>
        </w:rPr>
        <w:t>.</w:t>
      </w:r>
      <w:r w:rsidRPr="000A2DEF" w:rsidR="00D42F1F">
        <w:rPr>
          <w:color w:val="000000" w:themeColor="text1"/>
          <w:szCs w:val="22"/>
        </w:rPr>
        <w:t xml:space="preserve"> </w:t>
      </w:r>
    </w:p>
    <w:p w:rsidR="002302F1" w:rsidRPr="00A64A8F" w:rsidP="003C0F4F" w14:paraId="3A944BDD" w14:textId="77777777">
      <w:pPr>
        <w:pStyle w:val="Heading1"/>
        <w:widowControl/>
        <w:rPr>
          <w:spacing w:val="-2"/>
        </w:rPr>
      </w:pPr>
      <w:r w:rsidRPr="00A64A8F">
        <w:rPr>
          <w:spacing w:val="-2"/>
        </w:rPr>
        <w:t>Conclusion</w:t>
      </w:r>
    </w:p>
    <w:p w:rsidR="00412CAF" w:rsidRPr="00A64A8F" w:rsidP="003C0F4F" w14:paraId="1A68C7D4" w14:textId="4E42F6FE">
      <w:pPr>
        <w:pStyle w:val="ParaNum0"/>
        <w:widowControl/>
      </w:pPr>
      <w:r w:rsidRPr="00A64A8F">
        <w:t xml:space="preserve">We </w:t>
      </w:r>
      <w:r w:rsidR="002F5541">
        <w:t xml:space="preserve">therefore </w:t>
      </w:r>
      <w:r w:rsidRPr="00A64A8F">
        <w:t xml:space="preserve">determine that </w:t>
      </w:r>
      <w:r w:rsidRPr="00A64A8F" w:rsidR="005A24D1">
        <w:t>Zhejiang Dahua</w:t>
      </w:r>
      <w:r w:rsidRPr="00A64A8F">
        <w:t xml:space="preserve"> apparently willfully and repeatedly violated sectio</w:t>
      </w:r>
      <w:r w:rsidRPr="00A64A8F" w:rsidR="00556684">
        <w:t>n 2.903(</w:t>
      </w:r>
      <w:r w:rsidR="00C5058F">
        <w:t>d</w:t>
      </w:r>
      <w:r w:rsidRPr="00A64A8F" w:rsidR="00556684">
        <w:t>) of the Commission’s rules.</w:t>
      </w:r>
      <w:r>
        <w:rPr>
          <w:rStyle w:val="FootnoteReference"/>
        </w:rPr>
        <w:footnoteReference w:id="51"/>
      </w:r>
      <w:r w:rsidRPr="00A64A8F" w:rsidR="00556684">
        <w:t xml:space="preserve"> </w:t>
      </w:r>
      <w:r w:rsidRPr="00A64A8F" w:rsidR="00C943A5">
        <w:t xml:space="preserve"> </w:t>
      </w:r>
      <w:r w:rsidRPr="00A64A8F" w:rsidR="00556684">
        <w:t xml:space="preserve">As such, </w:t>
      </w:r>
      <w:r w:rsidRPr="00A64A8F">
        <w:t xml:space="preserve">Zhejiang Dahua is apparently liable for a forfeiture of </w:t>
      </w:r>
      <w:r w:rsidRPr="00A64A8F" w:rsidR="00743A75">
        <w:t>$188,491</w:t>
      </w:r>
      <w:r w:rsidRPr="00A64A8F">
        <w:t>.</w:t>
      </w:r>
    </w:p>
    <w:p w:rsidR="00E9376C" w:rsidRPr="00F8719D" w:rsidP="003C0F4F" w14:paraId="3AD5EA25" w14:textId="77777777">
      <w:pPr>
        <w:pStyle w:val="Heading1"/>
        <w:widowControl/>
        <w:rPr>
          <w:spacing w:val="-2"/>
        </w:rPr>
      </w:pPr>
      <w:r w:rsidRPr="00F8719D">
        <w:t>ORDERING CLAUSES</w:t>
      </w:r>
    </w:p>
    <w:p w:rsidR="00F3686F" w:rsidRPr="0091784A" w:rsidP="0050028D" w14:paraId="07EEF6DB" w14:textId="79617E72">
      <w:pPr>
        <w:pStyle w:val="ParaNum0"/>
        <w:widowControl/>
        <w:rPr>
          <w:spacing w:val="-2"/>
        </w:rPr>
      </w:pPr>
      <w:r w:rsidRPr="00981F23">
        <w:t xml:space="preserve">Accordingly, </w:t>
      </w:r>
      <w:r w:rsidRPr="00981F23">
        <w:rPr>
          <w:b/>
        </w:rPr>
        <w:t>IT IS ORDERED</w:t>
      </w:r>
      <w:r w:rsidRPr="00981F23">
        <w:t xml:space="preserve"> that, pursuant to </w:t>
      </w:r>
      <w:r>
        <w:t>section</w:t>
      </w:r>
      <w:r w:rsidRPr="00981F23">
        <w:t xml:space="preserve"> 503(b) of the </w:t>
      </w:r>
      <w:r>
        <w:t xml:space="preserve">Act, 47 U.S.C. </w:t>
      </w:r>
      <w:r w:rsidRPr="00E309EE">
        <w:t>§</w:t>
      </w:r>
      <w:r>
        <w:t xml:space="preserve"> 503(b),</w:t>
      </w:r>
      <w:r w:rsidRPr="00981F23">
        <w:t xml:space="preserve"> and </w:t>
      </w:r>
      <w:r>
        <w:t>section</w:t>
      </w:r>
      <w:r w:rsidRPr="00981F23">
        <w:t xml:space="preserve"> 1.80 of the</w:t>
      </w:r>
      <w:r>
        <w:t xml:space="preserve"> Commission’s r</w:t>
      </w:r>
      <w:r w:rsidRPr="00981F23">
        <w:t>ules,</w:t>
      </w:r>
      <w:r>
        <w:t xml:space="preserve"> 47 CFR </w:t>
      </w:r>
      <w:r w:rsidRPr="00981F23">
        <w:rPr>
          <w:color w:val="000000" w:themeColor="text1"/>
        </w:rPr>
        <w:t>§</w:t>
      </w:r>
      <w:r>
        <w:rPr>
          <w:color w:val="000000" w:themeColor="text1"/>
        </w:rPr>
        <w:t xml:space="preserve"> 1.80,</w:t>
      </w:r>
      <w:r w:rsidR="00E70E9C">
        <w:rPr>
          <w:color w:val="000000" w:themeColor="text1"/>
        </w:rPr>
        <w:t xml:space="preserve"> </w:t>
      </w:r>
      <w:r w:rsidRPr="003155B0" w:rsidR="003155B0">
        <w:rPr>
          <w:color w:val="000000" w:themeColor="text1"/>
        </w:rPr>
        <w:t>Zhejiang Dahua Technology Co., Ltd.</w:t>
      </w:r>
      <w:r w:rsidR="002A32EE">
        <w:t xml:space="preserve"> </w:t>
      </w:r>
      <w:r w:rsidRPr="00981F23">
        <w:t xml:space="preserve">is hereby </w:t>
      </w:r>
      <w:r w:rsidRPr="00981F23">
        <w:rPr>
          <w:b/>
        </w:rPr>
        <w:t>NOTIFIED</w:t>
      </w:r>
      <w:r w:rsidRPr="00981F23">
        <w:t xml:space="preserve"> of this </w:t>
      </w:r>
      <w:r w:rsidRPr="00981F23">
        <w:rPr>
          <w:b/>
        </w:rPr>
        <w:t>APPARENT LIABILITY FOR A FORFEITURE</w:t>
      </w:r>
      <w:r w:rsidR="005630C4">
        <w:rPr>
          <w:b/>
        </w:rPr>
        <w:t xml:space="preserve"> </w:t>
      </w:r>
      <w:r w:rsidRPr="00981F23">
        <w:t xml:space="preserve">in the amount of </w:t>
      </w:r>
      <w:r w:rsidR="00241C77">
        <w:t xml:space="preserve">one hundred eighty-eight thousand, four hundred ninety-one </w:t>
      </w:r>
      <w:r w:rsidRPr="00A64A8F" w:rsidR="00241C77">
        <w:rPr>
          <w:shd w:val="clear" w:color="auto" w:fill="FFFFFF" w:themeFill="background1"/>
        </w:rPr>
        <w:t xml:space="preserve">dollars </w:t>
      </w:r>
      <w:r w:rsidRPr="00A64A8F">
        <w:rPr>
          <w:shd w:val="clear" w:color="auto" w:fill="FFFFFF" w:themeFill="background1"/>
        </w:rPr>
        <w:t>($</w:t>
      </w:r>
      <w:r w:rsidRPr="00A64A8F" w:rsidR="00743A75">
        <w:rPr>
          <w:shd w:val="clear" w:color="auto" w:fill="FFFFFF" w:themeFill="background1"/>
        </w:rPr>
        <w:t>188,491</w:t>
      </w:r>
      <w:r w:rsidRPr="00A64A8F">
        <w:rPr>
          <w:shd w:val="clear" w:color="auto" w:fill="FFFFFF" w:themeFill="background1"/>
        </w:rPr>
        <w:t>) for willful</w:t>
      </w:r>
      <w:r w:rsidRPr="00981F23">
        <w:t xml:space="preserve"> and repeated violations of </w:t>
      </w:r>
      <w:r>
        <w:t>s</w:t>
      </w:r>
      <w:r w:rsidRPr="00981F23">
        <w:t xml:space="preserve">ection </w:t>
      </w:r>
      <w:r w:rsidR="00654ED6">
        <w:t>2.903(</w:t>
      </w:r>
      <w:r w:rsidR="00C5058F">
        <w:t>d</w:t>
      </w:r>
      <w:r w:rsidR="00654ED6">
        <w:t xml:space="preserve">) </w:t>
      </w:r>
      <w:r w:rsidRPr="00981F23">
        <w:t xml:space="preserve">of the </w:t>
      </w:r>
      <w:r>
        <w:t>Commission’s r</w:t>
      </w:r>
      <w:r w:rsidRPr="00981F23">
        <w:t>ules</w:t>
      </w:r>
      <w:r>
        <w:t xml:space="preserve">, 47 CFR </w:t>
      </w:r>
      <w:r w:rsidRPr="00E309EE">
        <w:t>§</w:t>
      </w:r>
      <w:r>
        <w:t xml:space="preserve"> </w:t>
      </w:r>
      <w:r w:rsidR="00E70E9C">
        <w:t>2.903(</w:t>
      </w:r>
      <w:r w:rsidR="00C5058F">
        <w:t>d</w:t>
      </w:r>
      <w:r w:rsidR="00E70E9C">
        <w:t>)</w:t>
      </w:r>
      <w:r w:rsidR="00FB2CE9">
        <w:t>.</w:t>
      </w:r>
      <w:r w:rsidRPr="00981F23">
        <w:t xml:space="preserve"> </w:t>
      </w:r>
    </w:p>
    <w:p w:rsidR="00F3686F" w:rsidRPr="00981F23" w:rsidP="0050028D" w14:paraId="7580F1DE" w14:textId="4F633CD5">
      <w:pPr>
        <w:pStyle w:val="ParaNum0"/>
        <w:widowControl/>
        <w:rPr>
          <w:spacing w:val="-2"/>
        </w:rPr>
      </w:pPr>
      <w:r w:rsidRPr="00981F23">
        <w:rPr>
          <w:b/>
        </w:rPr>
        <w:t xml:space="preserve">IT IS FURTHER ORDERED </w:t>
      </w:r>
      <w:r w:rsidRPr="00981F23">
        <w:t xml:space="preserve">that, pursuant to </w:t>
      </w:r>
      <w:r>
        <w:t>s</w:t>
      </w:r>
      <w:r w:rsidRPr="00981F23">
        <w:t>ection 1.80 of the</w:t>
      </w:r>
      <w:r>
        <w:t xml:space="preserve"> Commission’s r</w:t>
      </w:r>
      <w:r w:rsidRPr="00981F23">
        <w:t>ules,</w:t>
      </w:r>
      <w:r>
        <w:t xml:space="preserve"> </w:t>
      </w:r>
      <w:r w:rsidRPr="00981F23">
        <w:rPr>
          <w:color w:val="000000" w:themeColor="text1"/>
        </w:rPr>
        <w:t xml:space="preserve">47 </w:t>
      </w:r>
      <w:r>
        <w:rPr>
          <w:color w:val="000000" w:themeColor="text1"/>
        </w:rPr>
        <w:t>CFR</w:t>
      </w:r>
      <w:r w:rsidRPr="00981F23">
        <w:rPr>
          <w:color w:val="000000" w:themeColor="text1"/>
        </w:rPr>
        <w:t xml:space="preserve"> § 1.80</w:t>
      </w:r>
      <w:r>
        <w:rPr>
          <w:color w:val="000000" w:themeColor="text1"/>
        </w:rPr>
        <w:t>,</w:t>
      </w:r>
      <w:r w:rsidRPr="00981F23">
        <w:t xml:space="preserve"> within thirty (30) calendar days of the release date of this Notice of Apparent Liability for Forfeiture</w:t>
      </w:r>
      <w:r w:rsidR="005630C4">
        <w:t xml:space="preserve"> and Order</w:t>
      </w:r>
      <w:r w:rsidRPr="00981F23">
        <w:t>,</w:t>
      </w:r>
      <w:r w:rsidR="00C861F2">
        <w:t xml:space="preserve"> </w:t>
      </w:r>
      <w:r w:rsidRPr="002A32EE" w:rsidR="002A32EE">
        <w:t>Zhejiang Dahua Technology Co., Ltd.</w:t>
      </w:r>
      <w:r w:rsidR="002A32EE">
        <w:t xml:space="preserve"> </w:t>
      </w:r>
      <w:r w:rsidRPr="00981F23">
        <w:rPr>
          <w:b/>
        </w:rPr>
        <w:t>SHALL PAY</w:t>
      </w:r>
      <w:r w:rsidRPr="00981F23">
        <w:t xml:space="preserve"> the full amount of the proposed forfeiture or </w:t>
      </w:r>
      <w:r w:rsidRPr="00981F23">
        <w:rPr>
          <w:b/>
        </w:rPr>
        <w:t>SHALL FILE</w:t>
      </w:r>
      <w:r w:rsidRPr="00981F23">
        <w:t xml:space="preserve"> a written statement seeking reduction or cancellation of the proposed forfeiture consistent with paragraph</w:t>
      </w:r>
      <w:r w:rsidR="00B14F64">
        <w:t xml:space="preserve"> </w:t>
      </w:r>
      <w:r w:rsidR="009A012D">
        <w:fldChar w:fldCharType="begin"/>
      </w:r>
      <w:r w:rsidR="009A012D">
        <w:instrText xml:space="preserve"> REF _Ref206879581 \r \h </w:instrText>
      </w:r>
      <w:r w:rsidR="009A012D">
        <w:fldChar w:fldCharType="separate"/>
      </w:r>
      <w:r w:rsidR="009A012D">
        <w:t>18</w:t>
      </w:r>
      <w:r w:rsidR="009A012D">
        <w:fldChar w:fldCharType="end"/>
      </w:r>
      <w:r w:rsidR="00A056A8">
        <w:t xml:space="preserve"> </w:t>
      </w:r>
      <w:r w:rsidRPr="00981F23">
        <w:t>below.</w:t>
      </w:r>
    </w:p>
    <w:p w:rsidR="00F3686F" w:rsidRPr="009716F7" w:rsidP="0050028D" w14:paraId="6ECBC855" w14:textId="2C3CC6A3">
      <w:pPr>
        <w:pStyle w:val="ParaNum0"/>
        <w:widowControl/>
      </w:pPr>
      <w:bookmarkStart w:id="7" w:name="_Hlk90305298"/>
      <w:r>
        <w:t>In order for</w:t>
      </w:r>
      <w:r w:rsidR="00271C37">
        <w:t xml:space="preserve"> </w:t>
      </w:r>
      <w:r w:rsidRPr="00812E17" w:rsidR="00812E17">
        <w:t>Zhejiang Dahua Technology Co., Ltd.</w:t>
      </w:r>
      <w:r>
        <w:t xml:space="preserve"> to pay the proposed forfeiture, </w:t>
      </w:r>
      <w:r w:rsidRPr="00812E17" w:rsidR="00812E17">
        <w:t>Zhejiang Dahua Technology Co., Ltd.</w:t>
      </w:r>
      <w:r w:rsidR="00812E17">
        <w:t xml:space="preserve"> </w:t>
      </w:r>
      <w:r>
        <w:t xml:space="preserve">shall notify </w:t>
      </w:r>
      <w:r w:rsidR="006C6EDF">
        <w:t xml:space="preserve">the Spectrum Enforcement Division </w:t>
      </w:r>
      <w:r w:rsidR="00911B08">
        <w:t xml:space="preserve">at </w:t>
      </w:r>
      <w:hyperlink r:id="rId6" w:history="1">
        <w:r w:rsidRPr="00805A4F" w:rsidR="0035209A">
          <w:rPr>
            <w:rStyle w:val="Hyperlink"/>
          </w:rPr>
          <w:t>EB-SED-Response@fcc.gov</w:t>
        </w:r>
      </w:hyperlink>
      <w:r w:rsidR="0035209A">
        <w:t xml:space="preserve"> </w:t>
      </w:r>
      <w:r>
        <w:t xml:space="preserve">of its intent to pay, whereupon an invoice will be posted in the Commission’s Registration System (CORES) at </w:t>
      </w:r>
      <w:hyperlink r:id="rId7" w:history="1">
        <w:r w:rsidRPr="00BA069F">
          <w:rPr>
            <w:rStyle w:val="Hyperlink"/>
          </w:rPr>
          <w:t>https://apps.fcc.gov/cores/userLogin.do</w:t>
        </w:r>
      </w:hyperlink>
      <w:r>
        <w:rPr>
          <w:rStyle w:val="Hyperlink"/>
        </w:rPr>
        <w:t>.</w:t>
      </w:r>
      <w:r w:rsidRPr="00EF52A6">
        <w:t xml:space="preserve">  Upon payment, </w:t>
      </w:r>
      <w:r w:rsidRPr="00812E17" w:rsidR="00812E17">
        <w:t>Zhejiang Dahua Technology Co., Ltd.</w:t>
      </w:r>
      <w:r w:rsidR="00812E17">
        <w:t xml:space="preserve"> </w:t>
      </w:r>
      <w:r>
        <w:t xml:space="preserve">shall send electronic notification of payment to </w:t>
      </w:r>
      <w:r w:rsidR="0034481B">
        <w:t>Spectrum Enforcement Division</w:t>
      </w:r>
      <w:r>
        <w:t xml:space="preserve">, Enforcement Bureau, Federal Communications Commission, at </w:t>
      </w:r>
      <w:hyperlink r:id="rId6" w:history="1">
        <w:r w:rsidRPr="00E72804" w:rsidR="0034481B">
          <w:rPr>
            <w:rStyle w:val="Hyperlink"/>
          </w:rPr>
          <w:t>EB-SED-Response@fcc.gov</w:t>
        </w:r>
      </w:hyperlink>
      <w:r>
        <w:t xml:space="preserve"> on the date said payment is made.  </w:t>
      </w:r>
      <w:r w:rsidRPr="00AD0726">
        <w:t xml:space="preserve">Payment of the </w:t>
      </w:r>
      <w:r>
        <w:t>forfeiture</w:t>
      </w:r>
      <w:r w:rsidRPr="00AD0726">
        <w:t xml:space="preserve"> must be made by credit card</w:t>
      </w:r>
      <w:r w:rsidRPr="004C5D2B">
        <w:t xml:space="preserve"> </w:t>
      </w:r>
      <w:r>
        <w:t xml:space="preserve">using CORES at </w:t>
      </w:r>
      <w:hyperlink r:id="rId7" w:history="1">
        <w:r w:rsidRPr="00BA069F">
          <w:rPr>
            <w:rStyle w:val="Hyperlink"/>
          </w:rPr>
          <w:t>https://apps.fcc.gov/cores/userLogin.do</w:t>
        </w:r>
      </w:hyperlink>
      <w:r w:rsidRPr="00AD0726">
        <w:t>, ACH (Automated Clearing House) debit from a bank account</w:t>
      </w:r>
      <w:r w:rsidRPr="009716F7">
        <w:t xml:space="preserve">, or by wire transfer </w:t>
      </w:r>
      <w:r>
        <w:t>from a bank account.</w:t>
      </w:r>
      <w:r w:rsidRPr="009716F7">
        <w:t xml:space="preserve">  The Commission no longer accepts </w:t>
      </w:r>
      <w:r>
        <w:t>forfeiture</w:t>
      </w:r>
      <w:r w:rsidRPr="009716F7">
        <w:t xml:space="preserve"> payments by check </w:t>
      </w:r>
      <w:r w:rsidRPr="009716F7">
        <w:t>or money order.  Below are instructions that payors should follow based on the form of payment selected:</w:t>
      </w:r>
      <w:r>
        <w:rPr>
          <w:rStyle w:val="FootnoteReference"/>
        </w:rPr>
        <w:footnoteReference w:id="52"/>
      </w:r>
    </w:p>
    <w:p w:rsidR="00F3686F" w:rsidRPr="009716F7" w:rsidP="0050028D" w14:paraId="1AD15A4B" w14:textId="3D26F7D8">
      <w:pPr>
        <w:widowControl/>
        <w:numPr>
          <w:ilvl w:val="0"/>
          <w:numId w:val="18"/>
        </w:numPr>
        <w:snapToGrid w:val="0"/>
        <w:spacing w:after="120"/>
        <w:ind w:left="720"/>
      </w:pPr>
      <w:r w:rsidRPr="009716F7">
        <w:t>Payment by wire transfer must be made to ABA Number 021030004, receiving bank TREAS/NYC, and Account Number 27000001.</w:t>
      </w:r>
      <w:r>
        <w:t xml:space="preserve">  In the OBI field, enter the FRN(s) captioned above and the </w:t>
      </w:r>
      <w:r w:rsidRPr="009716F7">
        <w:t>letters “FORF”</w:t>
      </w:r>
      <w:r>
        <w:t>.</w:t>
      </w:r>
      <w:r w:rsidRPr="009716F7">
        <w:t xml:space="preserve">  </w:t>
      </w:r>
      <w:r>
        <w:t>In addition, a</w:t>
      </w:r>
      <w:r w:rsidRPr="009716F7">
        <w:t xml:space="preserve"> completed </w:t>
      </w:r>
      <w:r w:rsidR="0035209A">
        <w:t xml:space="preserve">FCC </w:t>
      </w:r>
      <w:r w:rsidRPr="009716F7">
        <w:t>Form 159</w:t>
      </w:r>
      <w:r>
        <w:rPr>
          <w:rStyle w:val="FootnoteReference"/>
        </w:rPr>
        <w:footnoteReference w:id="53"/>
      </w:r>
      <w:r>
        <w:t xml:space="preserve"> or printed CORES form</w:t>
      </w:r>
      <w:r>
        <w:rPr>
          <w:rStyle w:val="FootnoteReference"/>
        </w:rPr>
        <w:footnoteReference w:id="54"/>
      </w:r>
      <w:r w:rsidRPr="009716F7">
        <w:t xml:space="preserve"> must be faxed to the Federal Communications Commission at 202-418-2843 or e-mailed to </w:t>
      </w:r>
      <w:hyperlink r:id="rId8" w:history="1">
        <w:r w:rsidRPr="009716F7">
          <w:rPr>
            <w:rStyle w:val="Hyperlink"/>
          </w:rPr>
          <w:t>RROGWireFaxes@fcc.gov</w:t>
        </w:r>
      </w:hyperlink>
      <w:r w:rsidRPr="009716F7">
        <w:t xml:space="preserve"> on the same business day the wire transfer is initiated.  Failure to provide all required information in </w:t>
      </w:r>
      <w:r w:rsidR="0035209A">
        <w:t xml:space="preserve">FCC </w:t>
      </w:r>
      <w:r w:rsidRPr="009716F7">
        <w:t>Form 159</w:t>
      </w:r>
      <w:r>
        <w:t xml:space="preserve"> or CORES</w:t>
      </w:r>
      <w:r w:rsidRPr="009716F7">
        <w:t xml:space="preserve"> may result in payment not being recognized as having been received.  When completing FCC Form 159</w:t>
      </w:r>
      <w:r>
        <w:t xml:space="preserve"> or CORES</w:t>
      </w:r>
      <w:r w:rsidRPr="009716F7">
        <w:t>, enter the Account Number in block number 23A (call sign/other ID), enter the letters “FORF” in block number 24A (payment type code), and enter in block number 11 the FRN(s) captioned above (Payor FRN).</w:t>
      </w:r>
      <w:r>
        <w:rPr>
          <w:rStyle w:val="FootnoteReference"/>
        </w:rPr>
        <w:footnoteReference w:id="55"/>
      </w:r>
      <w:r w:rsidRPr="009716F7">
        <w:t xml:space="preserve">  For additional detail and wire transfer instructions, go to </w:t>
      </w:r>
      <w:hyperlink r:id="rId9" w:history="1">
        <w:r w:rsidRPr="009716F7">
          <w:rPr>
            <w:rStyle w:val="Hyperlink"/>
          </w:rPr>
          <w:t>https://www.fcc.gov/licensing-databases/fees/wire-transfer</w:t>
        </w:r>
      </w:hyperlink>
      <w:r w:rsidRPr="009716F7">
        <w:t xml:space="preserve">.  </w:t>
      </w:r>
    </w:p>
    <w:p w:rsidR="00F3686F" w:rsidRPr="009716F7" w:rsidP="0050028D" w14:paraId="6C81BAFF" w14:textId="77777777">
      <w:pPr>
        <w:widowControl/>
        <w:numPr>
          <w:ilvl w:val="0"/>
          <w:numId w:val="18"/>
        </w:numPr>
        <w:snapToGrid w:val="0"/>
        <w:spacing w:after="120"/>
        <w:ind w:left="720"/>
      </w:pPr>
      <w:r w:rsidRPr="009716F7">
        <w:t xml:space="preserve">Payment by credit card must be made by using </w:t>
      </w:r>
      <w:r w:rsidRPr="004B6755">
        <w:t xml:space="preserve">CORES at </w:t>
      </w:r>
      <w:hyperlink r:id="rId7" w:history="1">
        <w:r w:rsidRPr="00105508">
          <w:rPr>
            <w:rStyle w:val="Hyperlink"/>
          </w:rPr>
          <w:t>h</w:t>
        </w:r>
        <w:r w:rsidRPr="00DF5B5C">
          <w:rPr>
            <w:rStyle w:val="Hyperlink"/>
          </w:rPr>
          <w:t>ttps://apps.fcc.gov/cores/userLogin.do</w:t>
        </w:r>
      </w:hyperlink>
      <w:r w:rsidRPr="004B6755">
        <w:t xml:space="preserve">.  To pay by credit card, log-in using the FCC Username associated </w:t>
      </w:r>
      <w:r w:rsidRPr="004B6755">
        <w:t>to</w:t>
      </w:r>
      <w:r w:rsidRPr="004B6755">
        <w:t xml:space="preserve"> the FRN captioned above.  If payment must be split across FRNs, complete this process for each FRN.  Next, select “Manage Existing FRNs | FRN Financial | Bills &amp; Fees” from the CORES Menu, then select FRN Financial and the view/make payments option next to the FRN. </w:t>
      </w:r>
      <w:r>
        <w:t xml:space="preserve"> </w:t>
      </w:r>
      <w:r w:rsidRPr="004B6755">
        <w:t xml:space="preserve">Select the “Open Bills” tab and find the bill number associated with the </w:t>
      </w:r>
      <w:r>
        <w:t>NAL</w:t>
      </w:r>
      <w:r w:rsidRPr="004B6755">
        <w:t xml:space="preserve"> Acct. No.  The bill number is the </w:t>
      </w:r>
      <w:r>
        <w:t>NAL</w:t>
      </w:r>
      <w:r w:rsidRPr="004B6755">
        <w:t xml:space="preserve"> Acct. No. with the first two digits excluded (e.g., </w:t>
      </w:r>
      <w:r>
        <w:t>NAL</w:t>
      </w:r>
      <w:r w:rsidRPr="004B6755">
        <w:t xml:space="preserve"> 1912345678 would be associated with FCC Bill Number 12345678).  After selecting the bill for payment, choose the “Pay by Credit Card” option.  Please note that there is a $24,999.99 limit on credit</w:t>
      </w:r>
      <w:r w:rsidRPr="009716F7">
        <w:t xml:space="preserve"> card transactions.</w:t>
      </w:r>
    </w:p>
    <w:p w:rsidR="00F3686F" w:rsidRPr="004864CE" w:rsidP="0050028D" w14:paraId="47EFBAFA" w14:textId="77777777">
      <w:pPr>
        <w:widowControl/>
        <w:numPr>
          <w:ilvl w:val="0"/>
          <w:numId w:val="18"/>
        </w:numPr>
        <w:snapToGrid w:val="0"/>
        <w:spacing w:after="120"/>
        <w:ind w:left="720"/>
      </w:pPr>
      <w:r w:rsidRPr="009716F7">
        <w:t xml:space="preserve">Payment by ACH must be made by using CORES at </w:t>
      </w:r>
      <w:hyperlink r:id="rId7" w:history="1">
        <w:r w:rsidRPr="00177012">
          <w:rPr>
            <w:rStyle w:val="Hyperlink"/>
          </w:rPr>
          <w:t>https://apps.fcc.gov/cores/userLogin.do</w:t>
        </w:r>
      </w:hyperlink>
      <w:r>
        <w:t xml:space="preserve">.  </w:t>
      </w:r>
      <w:r w:rsidRPr="009716F7">
        <w:t xml:space="preserve">To pay by ACH, log in using the FCC Username associated </w:t>
      </w:r>
      <w:r w:rsidRPr="009716F7">
        <w:t>to</w:t>
      </w:r>
      <w:r w:rsidRPr="009716F7">
        <w:t xml:space="preserve"> the FRN captioned above.  If payment must be split across FRNs, complete this process for each FRN.  Next, select “Manage Existing FRNs | FRN Financial | Bills &amp; Fees” on the CORES Menu, then select FRN Financial and the view/make payments option next to the FRN. Select the “Open Bills” tab and find the bill</w:t>
      </w:r>
      <w:r w:rsidRPr="009716F7">
        <w:t xml:space="preserve"> </w:t>
      </w:r>
      <w:r w:rsidRPr="009716F7">
        <w:t xml:space="preserve">number associated with </w:t>
      </w:r>
      <w:r w:rsidRPr="009716F7">
        <w:t xml:space="preserve">the  </w:t>
      </w:r>
      <w:r>
        <w:t>NAL</w:t>
      </w:r>
      <w:r w:rsidRPr="009716F7">
        <w:t xml:space="preserve"> Acct. No.  The bill number is the </w:t>
      </w:r>
      <w:r>
        <w:t>NAL</w:t>
      </w:r>
      <w:r w:rsidRPr="009716F7">
        <w:t xml:space="preserve"> Acct. No. with the first two digits excluded (e.g., </w:t>
      </w:r>
      <w:r>
        <w:t>NAL</w:t>
      </w:r>
      <w:r w:rsidRPr="009716F7">
        <w:t xml:space="preserve"> 1912345678 would be associated with FCC Bill Number 12345678).  </w:t>
      </w:r>
      <w:r>
        <w:t>Finally, c</w:t>
      </w:r>
      <w:r w:rsidRPr="009716F7">
        <w:t>hoose the “Pay from Bank Account” option.  Please contact the appropriate financial institution to confirm the correct Routing Number and the correct account number from which payment will be made and verify with that financial institution that the designated account has authorization to accept ACH transactions.</w:t>
      </w:r>
    </w:p>
    <w:bookmarkEnd w:id="7"/>
    <w:p w:rsidR="00F3686F" w:rsidRPr="00981F23" w:rsidP="0050028D" w14:paraId="52E4E9DA" w14:textId="5C24D2A9">
      <w:pPr>
        <w:pStyle w:val="ParaNum0"/>
        <w:widowControl/>
      </w:pPr>
      <w:r w:rsidRPr="00981F23">
        <w:t xml:space="preserve">Any request for making full payment over time under an installment plan should be sent to:  Chief Financial Officer—Financial Operations, Federal Communications Commission, </w:t>
      </w:r>
      <w:r>
        <w:t xml:space="preserve">45 L </w:t>
      </w:r>
      <w:r w:rsidRPr="00981F23">
        <w:t xml:space="preserve">Street, </w:t>
      </w:r>
      <w:r>
        <w:t>NE</w:t>
      </w:r>
      <w:r w:rsidRPr="00981F23">
        <w:t>, Washington, D</w:t>
      </w:r>
      <w:r>
        <w:t>.</w:t>
      </w:r>
      <w:r w:rsidRPr="00981F23">
        <w:t>C</w:t>
      </w:r>
      <w:r>
        <w:t>.</w:t>
      </w:r>
      <w:r w:rsidRPr="00981F23">
        <w:t xml:space="preserve"> 20554.</w:t>
      </w:r>
      <w:r>
        <w:rPr>
          <w:rStyle w:val="FootnoteReference"/>
          <w:szCs w:val="22"/>
        </w:rPr>
        <w:footnoteReference w:id="56"/>
      </w:r>
      <w:r w:rsidRPr="00981F23">
        <w:t xml:space="preserve">  </w:t>
      </w:r>
      <w:r>
        <w:t>Q</w:t>
      </w:r>
      <w:r w:rsidRPr="00981F23">
        <w:t>uestion</w:t>
      </w:r>
      <w:r>
        <w:t xml:space="preserve">s regarding payment procedures </w:t>
      </w:r>
      <w:r w:rsidRPr="00981F23">
        <w:t xml:space="preserve">should </w:t>
      </w:r>
      <w:r>
        <w:t>be directed to</w:t>
      </w:r>
      <w:r w:rsidRPr="00981F23">
        <w:t xml:space="preserve"> the Financial Operations Group Help Desk by phone, 1-877-480-3201, or by e-mail, </w:t>
      </w:r>
      <w:r>
        <w:fldChar w:fldCharType="begin"/>
      </w:r>
      <w:r w:rsidRPr="00CE4FAD">
        <w:rPr>
          <w:rStyle w:val="Hyperlink"/>
        </w:rPr>
        <w:instrText xml:space="preserve"> HYPERLINK "mailto:ARINQUIRIES@fcc.gov" </w:instrText>
      </w:r>
      <w:r>
        <w:fldChar w:fldCharType="separate"/>
      </w:r>
      <w:r w:rsidRPr="00CE4FAD">
        <w:rPr>
          <w:rStyle w:val="Hyperlink"/>
        </w:rPr>
        <w:t>ARINQUIRIES@fcc.gov</w:t>
      </w:r>
      <w:r>
        <w:fldChar w:fldCharType="end"/>
      </w:r>
      <w:r w:rsidRPr="00981F23">
        <w:t>.</w:t>
      </w:r>
    </w:p>
    <w:p w:rsidR="00F3686F" w:rsidRPr="00981F23" w:rsidP="0050028D" w14:paraId="32EC32A7" w14:textId="0BB27657">
      <w:pPr>
        <w:pStyle w:val="ParaNum0"/>
        <w:widowControl/>
      </w:pPr>
      <w:bookmarkStart w:id="8" w:name="_Ref206879581"/>
      <w:r w:rsidRPr="00981F23">
        <w:t xml:space="preserve">The written statement seeking reduction or cancellation of the proposed forfeiture, if any, must include a detailed factual statement supported by appropriate documentation and affidavits pursuant </w:t>
      </w:r>
      <w:r w:rsidRPr="00981F23">
        <w:t xml:space="preserve">to </w:t>
      </w:r>
      <w:r>
        <w:t>s</w:t>
      </w:r>
      <w:r w:rsidRPr="00981F23">
        <w:t>ections 1.16 and 1.80(</w:t>
      </w:r>
      <w:r>
        <w:t>g</w:t>
      </w:r>
      <w:r w:rsidRPr="00981F23">
        <w:t xml:space="preserve">)(3) of the </w:t>
      </w:r>
      <w:r>
        <w:t>Commission’s r</w:t>
      </w:r>
      <w:r w:rsidRPr="00981F23">
        <w:t>ules.</w:t>
      </w:r>
      <w:r>
        <w:rPr>
          <w:vertAlign w:val="superscript"/>
        </w:rPr>
        <w:footnoteReference w:id="57"/>
      </w:r>
      <w:r w:rsidRPr="00981F23">
        <w:t xml:space="preserve">  The written statement must be mailed to the Office of the Secretary, Federal Communications Commission, </w:t>
      </w:r>
      <w:r>
        <w:t>45 L</w:t>
      </w:r>
      <w:r w:rsidRPr="00981F23">
        <w:t xml:space="preserve"> Street, </w:t>
      </w:r>
      <w:r>
        <w:t>NE</w:t>
      </w:r>
      <w:r w:rsidRPr="00981F23">
        <w:t>, Washington, D</w:t>
      </w:r>
      <w:r>
        <w:t>.</w:t>
      </w:r>
      <w:r w:rsidRPr="00981F23">
        <w:t>C</w:t>
      </w:r>
      <w:r>
        <w:t>.</w:t>
      </w:r>
      <w:r w:rsidRPr="00981F23">
        <w:t xml:space="preserve"> 20554, ATTN:  Enforcement Bureau – </w:t>
      </w:r>
      <w:r w:rsidR="00764343">
        <w:t>Spectrum Enforcement Division,</w:t>
      </w:r>
      <w:r w:rsidRPr="00981F23">
        <w:t xml:space="preserve"> and must include the NAL/Account Number referenced in the caption.  The statement must also be e-mailed to </w:t>
      </w:r>
      <w:hyperlink r:id="rId6" w:history="1">
        <w:r w:rsidRPr="00E72804" w:rsidR="00271C37">
          <w:rPr>
            <w:rStyle w:val="Hyperlink"/>
          </w:rPr>
          <w:t>EB-SED-Response@fcc.gov</w:t>
        </w:r>
      </w:hyperlink>
      <w:r w:rsidRPr="00981F23">
        <w:t>.</w:t>
      </w:r>
      <w:bookmarkEnd w:id="8"/>
      <w:r w:rsidRPr="00981F23">
        <w:t xml:space="preserve">  </w:t>
      </w:r>
    </w:p>
    <w:p w:rsidR="00F3686F" w:rsidP="0050028D" w14:paraId="2A5FFE12" w14:textId="6177BB0F">
      <w:pPr>
        <w:pStyle w:val="ParaNum0"/>
        <w:widowControl/>
      </w:pPr>
      <w:r w:rsidRPr="00981F23">
        <w:t>The Commission will not consider reducing or canceling a forfeiture in response to a claim of inability to pay unless the petitioner submits</w:t>
      </w:r>
      <w:r>
        <w:t xml:space="preserve"> the following documentation</w:t>
      </w:r>
      <w:r w:rsidRPr="00981F23">
        <w:t xml:space="preserve">:  (1) federal tax returns for the </w:t>
      </w:r>
      <w:r>
        <w:t>past three years</w:t>
      </w:r>
      <w:r w:rsidRPr="00981F23">
        <w:t xml:space="preserve">; (2) financial statements </w:t>
      </w:r>
      <w:r>
        <w:t xml:space="preserve">for the past three years </w:t>
      </w:r>
      <w:r w:rsidRPr="00981F23">
        <w:t>prepared according to generally accepted accounting practices; or (3)</w:t>
      </w:r>
      <w:r>
        <w:t> </w:t>
      </w:r>
      <w:r w:rsidRPr="00981F23">
        <w:t>some other reliable and objective documentation that accurately reflects the petitioner’s current financial status.</w:t>
      </w:r>
      <w:r>
        <w:rPr>
          <w:rStyle w:val="FootnoteReference"/>
        </w:rPr>
        <w:footnoteReference w:id="58"/>
      </w:r>
      <w:r w:rsidRPr="00981F23">
        <w:t xml:space="preserve">  Any claim of inability to pay must specifically identify the basis for the claim by reference to the financial documentation.</w:t>
      </w:r>
      <w:r>
        <w:t xml:space="preserve">  </w:t>
      </w:r>
      <w:r w:rsidRPr="009A58BC">
        <w:t xml:space="preserve">Inability to pay, however, is only one of several factors that the Commission will consider in determining the appropriate forfeiture, and we </w:t>
      </w:r>
      <w:r>
        <w:t>retain the</w:t>
      </w:r>
      <w:r w:rsidRPr="009A58BC">
        <w:t xml:space="preserve"> discretion to decline reducing or canceling the forfeiture if other prongs of 47 U.S.C. § 503(b)(2)(E) support that result</w:t>
      </w:r>
      <w:r>
        <w:t>.</w:t>
      </w:r>
      <w:r>
        <w:rPr>
          <w:rStyle w:val="FootnoteReference"/>
        </w:rPr>
        <w:footnoteReference w:id="59"/>
      </w:r>
      <w:r>
        <w:t xml:space="preserve">  </w:t>
      </w:r>
    </w:p>
    <w:p w:rsidR="00F3686F" w:rsidRPr="00981F23" w:rsidP="0050028D" w14:paraId="3FA2C45E" w14:textId="6BB237C1">
      <w:pPr>
        <w:pStyle w:val="ParaNum0"/>
        <w:keepNext/>
        <w:keepLines/>
        <w:widowControl/>
      </w:pPr>
      <w:r w:rsidRPr="00981F23">
        <w:rPr>
          <w:b/>
        </w:rPr>
        <w:t xml:space="preserve">IT IS FURTHER ORDERED </w:t>
      </w:r>
      <w:r w:rsidRPr="00981F23">
        <w:t xml:space="preserve">that a copy of this Notice of Apparent Liability for Forfeiture shall be sent by first class mail and certified mail, return receipt requested, to </w:t>
      </w:r>
      <w:r w:rsidR="00CD7795">
        <w:t>Zhicheng Xu</w:t>
      </w:r>
      <w:r w:rsidRPr="00981F23">
        <w:t xml:space="preserve">, </w:t>
      </w:r>
      <w:r w:rsidR="00CD7795">
        <w:t>Senior Vice President</w:t>
      </w:r>
      <w:r w:rsidRPr="00981F23">
        <w:t xml:space="preserve">, </w:t>
      </w:r>
      <w:r w:rsidR="00CD7795">
        <w:t>Zhejiang Dahua Technology Co., Ltd.</w:t>
      </w:r>
      <w:r w:rsidRPr="00981F23">
        <w:t xml:space="preserve">, </w:t>
      </w:r>
      <w:r w:rsidR="00CD7795">
        <w:t xml:space="preserve">No. 1187, </w:t>
      </w:r>
      <w:r w:rsidR="00CD7795">
        <w:t>Bin’an</w:t>
      </w:r>
      <w:r w:rsidR="00CD7795">
        <w:t xml:space="preserve"> Road, </w:t>
      </w:r>
      <w:r w:rsidR="00CD7795">
        <w:t>Binjiang</w:t>
      </w:r>
      <w:r w:rsidR="00CD7795">
        <w:t xml:space="preserve"> District, Hangzhou, Zhejiang, China</w:t>
      </w:r>
      <w:r>
        <w:t>,</w:t>
      </w:r>
      <w:r w:rsidRPr="00981F23">
        <w:t xml:space="preserve"> and to</w:t>
      </w:r>
      <w:r>
        <w:t xml:space="preserve"> Russell M. Blau</w:t>
      </w:r>
      <w:r w:rsidRPr="00981F23">
        <w:t xml:space="preserve">, Esq., </w:t>
      </w:r>
      <w:r w:rsidR="00536250">
        <w:t>Morgan Lewis &amp; Bockius LLP</w:t>
      </w:r>
      <w:r w:rsidRPr="00981F23">
        <w:t>,</w:t>
      </w:r>
      <w:r w:rsidRPr="00536250" w:rsidR="00536250">
        <w:t xml:space="preserve"> 1111 Pennsylvania Ave NW, Washington, DC 20004</w:t>
      </w:r>
      <w:r w:rsidRPr="00981F23">
        <w:t>.</w:t>
      </w:r>
    </w:p>
    <w:p w:rsidR="00F3686F" w:rsidP="0050028D" w14:paraId="62541D18" w14:textId="77777777">
      <w:pPr>
        <w:keepNext/>
        <w:keepLines/>
        <w:widowControl/>
        <w:spacing w:after="120"/>
        <w:rPr>
          <w:color w:val="000000" w:themeColor="text1"/>
        </w:rPr>
      </w:pPr>
      <w:bookmarkStart w:id="9" w:name="_Hlk54793864"/>
    </w:p>
    <w:p w:rsidR="00F3686F" w:rsidRPr="00981F23" w:rsidP="0050028D" w14:paraId="4FECFE7B" w14:textId="77777777">
      <w:pPr>
        <w:keepNext/>
        <w:keepLines/>
        <w:widowControl/>
        <w:spacing w:after="120"/>
        <w:rPr>
          <w:color w:val="000000" w:themeColor="text1"/>
        </w:rPr>
      </w:pPr>
    </w:p>
    <w:bookmarkEnd w:id="9"/>
    <w:p w:rsidR="00F3686F" w:rsidRPr="00981F23" w:rsidP="0050028D" w14:paraId="51EB8994" w14:textId="77777777">
      <w:pPr>
        <w:keepNext/>
        <w:keepLines/>
        <w:widowControl/>
        <w:spacing w:after="120"/>
        <w:rPr>
          <w:color w:val="000000" w:themeColor="text1"/>
        </w:rPr>
      </w:pP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t>FEDERAL COMMUNICATIONS COMMISSION</w:t>
      </w:r>
    </w:p>
    <w:p w:rsidR="00F3686F" w:rsidRPr="00981F23" w:rsidP="0050028D" w14:paraId="5409C4E3" w14:textId="77777777">
      <w:pPr>
        <w:keepNext/>
        <w:keepLines/>
        <w:widowControl/>
        <w:spacing w:after="120"/>
        <w:rPr>
          <w:color w:val="000000" w:themeColor="text1"/>
        </w:rPr>
      </w:pPr>
    </w:p>
    <w:p w:rsidR="00F3686F" w:rsidRPr="00981F23" w:rsidP="0050028D" w14:paraId="5DE506D5" w14:textId="77777777">
      <w:pPr>
        <w:keepNext/>
        <w:keepLines/>
        <w:widowControl/>
        <w:spacing w:after="120"/>
        <w:rPr>
          <w:color w:val="000000" w:themeColor="text1"/>
        </w:rPr>
      </w:pPr>
    </w:p>
    <w:p w:rsidR="00F3686F" w:rsidRPr="00981F23" w:rsidP="0050028D" w14:paraId="36440DBE" w14:textId="77777777">
      <w:pPr>
        <w:keepNext/>
        <w:keepLines/>
        <w:widowControl/>
        <w:spacing w:after="120"/>
        <w:rPr>
          <w:color w:val="000000" w:themeColor="text1"/>
        </w:rPr>
      </w:pPr>
    </w:p>
    <w:p w:rsidR="00F3686F" w:rsidRPr="006D73F2" w:rsidP="0050028D" w14:paraId="6BD00F3B" w14:textId="77777777">
      <w:pPr>
        <w:keepNext/>
        <w:keepLines/>
        <w:widowControl/>
        <w:spacing w:after="120"/>
        <w:ind w:left="4410"/>
        <w:rPr>
          <w:szCs w:val="22"/>
        </w:rPr>
      </w:pP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r>
      <w:r w:rsidRPr="00981F23">
        <w:rPr>
          <w:color w:val="000000" w:themeColor="text1"/>
        </w:rPr>
        <w:tab/>
      </w:r>
    </w:p>
    <w:p w:rsidR="00F3686F" w:rsidRPr="006D73F2" w:rsidP="0050028D" w14:paraId="27E54924" w14:textId="0D799CE5">
      <w:pPr>
        <w:keepNext/>
        <w:keepLines/>
        <w:widowControl/>
        <w:ind w:left="4406"/>
        <w:rPr>
          <w:szCs w:val="22"/>
        </w:rPr>
      </w:pPr>
      <w:r w:rsidRPr="006D73F2">
        <w:rPr>
          <w:szCs w:val="22"/>
        </w:rPr>
        <w:t>Marlene H. Dortch</w:t>
      </w:r>
    </w:p>
    <w:p w:rsidR="00F3686F" w:rsidRPr="006D73F2" w:rsidP="0050028D" w14:paraId="2233A38D" w14:textId="77777777">
      <w:pPr>
        <w:keepNext/>
        <w:keepLines/>
        <w:widowControl/>
        <w:ind w:left="4406"/>
        <w:rPr>
          <w:szCs w:val="22"/>
        </w:rPr>
      </w:pPr>
      <w:r w:rsidRPr="006D73F2">
        <w:rPr>
          <w:szCs w:val="22"/>
        </w:rPr>
        <w:t>Secretary</w:t>
      </w:r>
    </w:p>
    <w:p w:rsidR="00F3686F" w:rsidRPr="006D73F2" w:rsidP="0050028D" w14:paraId="321617EA" w14:textId="77777777">
      <w:pPr>
        <w:keepNext/>
        <w:keepLines/>
        <w:widowControl/>
        <w:spacing w:after="120"/>
        <w:ind w:left="4410"/>
        <w:rPr>
          <w:szCs w:val="22"/>
        </w:rPr>
      </w:pPr>
    </w:p>
    <w:p w:rsidR="00F15904" w:rsidRPr="00F47251" w:rsidP="003C0F4F" w14:paraId="2C2ED9C8" w14:textId="2E63EEBE">
      <w:pPr>
        <w:pStyle w:val="ParaNum0"/>
        <w:widowControl/>
        <w:numPr>
          <w:ilvl w:val="0"/>
          <w:numId w:val="0"/>
        </w:numPr>
        <w:ind w:left="720"/>
        <w:rPr>
          <w:szCs w:val="22"/>
        </w:rPr>
      </w:pPr>
    </w:p>
    <w:sectPr w:rsidSect="007C3A62">
      <w:headerReference w:type="default" r:id="rId10"/>
      <w:footerReference w:type="even" r:id="rId11"/>
      <w:footerReference w:type="default" r:id="rId12"/>
      <w:headerReference w:type="first" r:id="rId13"/>
      <w:footerReference w:type="first" r:id="rId14"/>
      <w:footnotePr>
        <w:numRestart w:val="eachSect"/>
      </w:footnotePr>
      <w:pgSz w:w="12240" w:h="15840" w:code="1"/>
      <w:pgMar w:top="1271"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6CC3" w14:paraId="7C462677" w14:textId="77777777">
      <w:r>
        <w:separator/>
      </w:r>
    </w:p>
  </w:endnote>
  <w:endnote w:type="continuationSeparator" w:id="1">
    <w:p w:rsidR="00E86CC3" w14:paraId="405B67B5" w14:textId="77777777">
      <w:r>
        <w:continuationSeparator/>
      </w:r>
    </w:p>
  </w:endnote>
  <w:endnote w:type="continuationNotice" w:id="2">
    <w:p w:rsidR="00E86CC3" w14:paraId="4598B3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D5C" w:rsidP="009E64A3" w14:paraId="2702E6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3D5C" w14:paraId="355297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D5C" w:rsidRPr="00575313" w:rsidP="009E64A3" w14:paraId="7799A89B" w14:textId="77777777">
    <w:pPr>
      <w:pStyle w:val="Footer"/>
      <w:framePr w:wrap="around" w:vAnchor="text" w:hAnchor="margin" w:xAlign="center" w:y="1"/>
      <w:rPr>
        <w:rStyle w:val="PageNumber"/>
        <w:szCs w:val="22"/>
      </w:rPr>
    </w:pPr>
    <w:r w:rsidRPr="00575313">
      <w:rPr>
        <w:rStyle w:val="PageNumber"/>
        <w:szCs w:val="22"/>
      </w:rPr>
      <w:fldChar w:fldCharType="begin"/>
    </w:r>
    <w:r w:rsidRPr="00575313">
      <w:rPr>
        <w:rStyle w:val="PageNumber"/>
        <w:szCs w:val="22"/>
      </w:rPr>
      <w:instrText xml:space="preserve">PAGE  </w:instrText>
    </w:r>
    <w:r w:rsidRPr="00575313">
      <w:rPr>
        <w:rStyle w:val="PageNumber"/>
        <w:szCs w:val="22"/>
      </w:rPr>
      <w:fldChar w:fldCharType="separate"/>
    </w:r>
    <w:r w:rsidR="00DB5D32">
      <w:rPr>
        <w:rStyle w:val="PageNumber"/>
        <w:noProof/>
        <w:szCs w:val="22"/>
      </w:rPr>
      <w:t>3</w:t>
    </w:r>
    <w:r w:rsidRPr="00575313">
      <w:rPr>
        <w:rStyle w:val="PageNumber"/>
        <w:szCs w:val="22"/>
      </w:rPr>
      <w:fldChar w:fldCharType="end"/>
    </w:r>
  </w:p>
  <w:p w:rsidR="00DC3D5C" w:rsidRPr="00EF1757" w:rsidP="00537DB1" w14:paraId="5CE64BCD" w14:textId="77777777">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D5C" w14:paraId="3027F29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CC3" w14:paraId="3F0C8C5D" w14:textId="77777777">
      <w:r>
        <w:separator/>
      </w:r>
    </w:p>
  </w:footnote>
  <w:footnote w:type="continuationSeparator" w:id="1">
    <w:p w:rsidR="00E86CC3" w:rsidP="00F60397" w14:paraId="280264BE" w14:textId="77777777">
      <w:r w:rsidRPr="00F60397">
        <w:rPr>
          <w:sz w:val="20"/>
        </w:rPr>
        <w:t>(Continued from previous page…)</w:t>
      </w:r>
      <w:r>
        <w:rPr>
          <w:sz w:val="20"/>
        </w:rPr>
        <w:t xml:space="preserve"> </w:t>
      </w:r>
      <w:r>
        <w:separator/>
      </w:r>
    </w:p>
  </w:footnote>
  <w:footnote w:type="continuationNotice" w:id="2">
    <w:p w:rsidR="00E86CC3" w:rsidRPr="00F60397" w:rsidP="00AE54D6" w14:paraId="651CBD70" w14:textId="77777777">
      <w:pPr>
        <w:jc w:val="right"/>
        <w:rPr>
          <w:sz w:val="20"/>
        </w:rPr>
      </w:pPr>
      <w:r w:rsidRPr="00F60397">
        <w:rPr>
          <w:sz w:val="20"/>
        </w:rPr>
        <w:t>(continued…)</w:t>
      </w:r>
    </w:p>
  </w:footnote>
  <w:footnote w:id="3">
    <w:p w:rsidR="002C7EC6" w:rsidRPr="000C41E8" w:rsidP="003530BC" w14:paraId="6031A973" w14:textId="4189667F">
      <w:pPr>
        <w:pStyle w:val="FootnoteText"/>
      </w:pPr>
      <w:r w:rsidRPr="003530BC">
        <w:rPr>
          <w:rStyle w:val="FootnoteReference"/>
        </w:rPr>
        <w:footnoteRef/>
      </w:r>
      <w:r w:rsidRPr="003530BC">
        <w:rPr>
          <w:rStyle w:val="FootnoteReference"/>
        </w:rPr>
        <w:t xml:space="preserve"> </w:t>
      </w:r>
      <w:r w:rsidRPr="000C41E8" w:rsidR="008B2B92">
        <w:t xml:space="preserve">FCC, </w:t>
      </w:r>
      <w:r w:rsidRPr="000C41E8" w:rsidR="000B40E8">
        <w:t>Public Safety and Homeland Secur</w:t>
      </w:r>
      <w:r w:rsidRPr="000C41E8" w:rsidR="001F2F0A">
        <w:t>ity</w:t>
      </w:r>
      <w:r w:rsidRPr="000C41E8" w:rsidR="007005A4">
        <w:t xml:space="preserve"> Bureau</w:t>
      </w:r>
      <w:r w:rsidRPr="000C41E8" w:rsidR="001F2F0A">
        <w:t xml:space="preserve">, </w:t>
      </w:r>
      <w:r w:rsidRPr="00A2293F" w:rsidR="001F2F0A">
        <w:rPr>
          <w:i/>
          <w:iCs/>
        </w:rPr>
        <w:t>List of Equipment and Services Covered By Section 2 of The Secure Networks Act</w:t>
      </w:r>
      <w:r w:rsidRPr="000C41E8" w:rsidR="000C41E8">
        <w:t>,</w:t>
      </w:r>
      <w:r w:rsidRPr="000C41E8" w:rsidR="001F2F0A">
        <w:t xml:space="preserve"> </w:t>
      </w:r>
      <w:hyperlink r:id="rId1" w:history="1">
        <w:r w:rsidRPr="000C41E8" w:rsidR="001F2F0A">
          <w:rPr>
            <w:rStyle w:val="Hyperlink"/>
          </w:rPr>
          <w:t>https://www.fcc.gov/supplychain/coveredlist</w:t>
        </w:r>
      </w:hyperlink>
      <w:r w:rsidRPr="000C41E8" w:rsidR="001F2F0A">
        <w:t xml:space="preserve"> (</w:t>
      </w:r>
      <w:r w:rsidRPr="001D057C" w:rsidR="001F2F0A">
        <w:t>Covered List</w:t>
      </w:r>
      <w:r w:rsidRPr="000C41E8" w:rsidR="001F2F0A">
        <w:t xml:space="preserve">); </w:t>
      </w:r>
      <w:r w:rsidRPr="000C41E8" w:rsidR="005D1A6D">
        <w:t>47</w:t>
      </w:r>
      <w:r w:rsidRPr="000C41E8" w:rsidR="00B07EE0">
        <w:t xml:space="preserve"> </w:t>
      </w:r>
      <w:r w:rsidRPr="000C41E8" w:rsidR="005D1A6D">
        <w:t xml:space="preserve">CFR § 1.50000 </w:t>
      </w:r>
      <w:r w:rsidRPr="000C41E8" w:rsidR="005D1A6D">
        <w:rPr>
          <w:rStyle w:val="Emphasis"/>
        </w:rPr>
        <w:t>et seq.</w:t>
      </w:r>
      <w:r w:rsidRPr="000C41E8" w:rsidR="008756CF">
        <w:rPr>
          <w:b/>
          <w:caps/>
        </w:rPr>
        <w:t xml:space="preserve"> </w:t>
      </w:r>
    </w:p>
  </w:footnote>
  <w:footnote w:id="4">
    <w:p w:rsidR="00671011" w:rsidRPr="000C41E8" w:rsidP="003530BC" w14:paraId="6E39D2DE" w14:textId="085A5539">
      <w:pPr>
        <w:pStyle w:val="FootnoteText"/>
      </w:pPr>
      <w:r w:rsidRPr="000C41E8">
        <w:rPr>
          <w:rStyle w:val="FootnoteReference"/>
        </w:rPr>
        <w:footnoteRef/>
      </w:r>
      <w:r w:rsidRPr="000C41E8">
        <w:rPr>
          <w:i/>
          <w:iCs/>
        </w:rPr>
        <w:t xml:space="preserve"> </w:t>
      </w:r>
      <w:r w:rsidRPr="000C41E8" w:rsidR="000B0939">
        <w:rPr>
          <w:i/>
          <w:iCs/>
        </w:rPr>
        <w:t>See</w:t>
      </w:r>
      <w:r w:rsidRPr="000C41E8" w:rsidR="000B0939">
        <w:t xml:space="preserve"> 47 CFR § 2.903</w:t>
      </w:r>
      <w:r w:rsidRPr="000C41E8" w:rsidR="00C40FAF">
        <w:t>(</w:t>
      </w:r>
      <w:r w:rsidR="00610520">
        <w:t>d</w:t>
      </w:r>
      <w:r w:rsidRPr="000C41E8" w:rsidR="00AC67CD">
        <w:t>)</w:t>
      </w:r>
      <w:r w:rsidRPr="000C41E8" w:rsidR="00713EB5">
        <w:t>.</w:t>
      </w:r>
      <w:r w:rsidR="00987DC8">
        <w:t xml:space="preserve">  </w:t>
      </w:r>
      <w:r w:rsidR="00AB1359">
        <w:t xml:space="preserve">The inclusion of entities named on the Covered List is read to include the subsidiaries and affiliates of such entities.  </w:t>
      </w:r>
      <w:r w:rsidRPr="00FA5888" w:rsidR="00AB1359">
        <w:rPr>
          <w:i/>
          <w:iCs/>
        </w:rPr>
        <w:t>See</w:t>
      </w:r>
      <w:r w:rsidR="00AB1359">
        <w:t xml:space="preserve"> Covered List. </w:t>
      </w:r>
      <w:r w:rsidR="00FA5888">
        <w:t xml:space="preserve"> </w:t>
      </w:r>
      <w:r w:rsidRPr="00DA4006" w:rsidR="00A26FA1">
        <w:rPr>
          <w:i/>
          <w:iCs/>
        </w:rPr>
        <w:t xml:space="preserve">See also Protecting Against National Security Threats to the Communications Supply Chain through the Equipment Authorization Program, </w:t>
      </w:r>
      <w:r w:rsidRPr="00DA4006" w:rsidR="00A26FA1">
        <w:t>ET Docket No. 21-232, Second Report and Order, Order, and Second Further Notice of Proposed Rulemaking, FCC 25-71, 2025 WL 3677904 (Oct. 29, 2025) (</w:t>
      </w:r>
      <w:r w:rsidR="00F97444">
        <w:t>a</w:t>
      </w:r>
      <w:r w:rsidRPr="00DA4006" w:rsidR="00A26FA1">
        <w:t xml:space="preserve">mended section 2.903 by redesignating paragraph (b) as paragraph (d) though no change to the text of the </w:t>
      </w:r>
      <w:r w:rsidR="00F97444">
        <w:t xml:space="preserve">subsection was </w:t>
      </w:r>
      <w:r w:rsidRPr="00DA4006" w:rsidR="00A26FA1">
        <w:t>made</w:t>
      </w:r>
      <w:r w:rsidR="00F97444">
        <w:t>).</w:t>
      </w:r>
      <w:r w:rsidRPr="00DA4006" w:rsidR="00A26FA1">
        <w:t xml:space="preserve">  </w:t>
      </w:r>
      <w:r w:rsidR="00722388">
        <w:t>T</w:t>
      </w:r>
      <w:r w:rsidRPr="00DA4006" w:rsidR="00A26FA1">
        <w:t>h</w:t>
      </w:r>
      <w:r w:rsidR="00F97444">
        <w:t xml:space="preserve">is item will refer to the </w:t>
      </w:r>
      <w:r w:rsidRPr="00DA4006" w:rsidR="00A26FA1">
        <w:t xml:space="preserve">rule </w:t>
      </w:r>
      <w:r w:rsidR="00F97444">
        <w:t>sub</w:t>
      </w:r>
      <w:r w:rsidRPr="00DA4006" w:rsidR="00A26FA1">
        <w:t xml:space="preserve">section </w:t>
      </w:r>
      <w:r w:rsidR="00F97444">
        <w:t xml:space="preserve">by its </w:t>
      </w:r>
      <w:r w:rsidRPr="00DA4006" w:rsidR="00A26FA1">
        <w:t>current rule designation</w:t>
      </w:r>
      <w:r w:rsidR="00F97444">
        <w:t>, 2.903(d)</w:t>
      </w:r>
      <w:r w:rsidRPr="00DA4006" w:rsidR="00A26FA1">
        <w:t>.</w:t>
      </w:r>
      <w:r w:rsidR="00A26FA1">
        <w:t xml:space="preserve">  </w:t>
      </w:r>
    </w:p>
  </w:footnote>
  <w:footnote w:id="5">
    <w:p w:rsidR="003B6D20" w:rsidRPr="000C41E8" w:rsidP="003530BC" w14:paraId="678EE6AA" w14:textId="32BAA035">
      <w:pPr>
        <w:pStyle w:val="FootnoteText"/>
      </w:pPr>
      <w:r w:rsidRPr="000C41E8">
        <w:rPr>
          <w:rStyle w:val="FootnoteReference"/>
        </w:rPr>
        <w:footnoteRef/>
      </w:r>
      <w:r w:rsidRPr="000C41E8" w:rsidR="00AC67CD">
        <w:t xml:space="preserve"> </w:t>
      </w:r>
      <w:r w:rsidRPr="000C41E8" w:rsidR="00AC67CD">
        <w:rPr>
          <w:i/>
          <w:iCs/>
        </w:rPr>
        <w:t xml:space="preserve">See </w:t>
      </w:r>
      <w:r w:rsidRPr="000C41E8" w:rsidR="00A03CA6">
        <w:t>47 CFR § 2.903(</w:t>
      </w:r>
      <w:r w:rsidR="00610520">
        <w:t>d</w:t>
      </w:r>
      <w:r w:rsidRPr="000C41E8" w:rsidR="00A03CA6">
        <w:t xml:space="preserve">)(1); </w:t>
      </w:r>
      <w:r w:rsidRPr="004C357B" w:rsidR="00AC67CD">
        <w:rPr>
          <w:i/>
          <w:iCs/>
        </w:rPr>
        <w:t xml:space="preserve">Protecting Against National Security Threats to the Communications Supply Chain through the Equipment Authorization Program, </w:t>
      </w:r>
      <w:r w:rsidRPr="004C357B" w:rsidR="00AC67CD">
        <w:t>ET Docket No. 21-232</w:t>
      </w:r>
      <w:r w:rsidRPr="004C357B" w:rsidR="00AC67CD">
        <w:rPr>
          <w:i/>
          <w:iCs/>
        </w:rPr>
        <w:t xml:space="preserve">; Protecting Against National Security Threats to the Communications Supply Chain through the Competitive Bidding Program, </w:t>
      </w:r>
      <w:r w:rsidRPr="004C357B" w:rsidR="00AC67CD">
        <w:t xml:space="preserve">EA Docket No. 21-233, Report and Order, Order, and Further Notice of Proposed Rulemaking, 37 FCC Rcd 13493, </w:t>
      </w:r>
      <w:bookmarkStart w:id="1" w:name="_Hlk206873544"/>
      <w:r w:rsidRPr="004C357B" w:rsidR="00AC67CD">
        <w:t xml:space="preserve">13566, para. 186 </w:t>
      </w:r>
      <w:bookmarkEnd w:id="1"/>
      <w:r w:rsidRPr="004C357B" w:rsidR="00AC67CD">
        <w:t>(2022) (</w:t>
      </w:r>
      <w:r w:rsidRPr="004C357B" w:rsidR="008D2ACB">
        <w:rPr>
          <w:i/>
          <w:iCs/>
        </w:rPr>
        <w:t xml:space="preserve">2022 </w:t>
      </w:r>
      <w:r w:rsidRPr="004C357B" w:rsidR="00F9781C">
        <w:rPr>
          <w:i/>
          <w:iCs/>
        </w:rPr>
        <w:t xml:space="preserve">Equipment Authorization Security </w:t>
      </w:r>
      <w:r w:rsidRPr="004C357B" w:rsidR="00AC67CD">
        <w:rPr>
          <w:i/>
          <w:iCs/>
        </w:rPr>
        <w:t>Report and Order</w:t>
      </w:r>
      <w:r w:rsidRPr="004C357B" w:rsidR="00AC67CD">
        <w:t>)</w:t>
      </w:r>
      <w:r w:rsidRPr="004C357B" w:rsidR="00F4194F">
        <w:t>.</w:t>
      </w:r>
      <w:r w:rsidRPr="000C41E8" w:rsidR="00AC67CD">
        <w:t xml:space="preserve"> </w:t>
      </w:r>
    </w:p>
  </w:footnote>
  <w:footnote w:id="6">
    <w:p w:rsidR="005F3AC7" w:rsidRPr="000C41E8" w:rsidP="003530BC" w14:paraId="33145CD5" w14:textId="14DF1981">
      <w:pPr>
        <w:pStyle w:val="FootnoteText"/>
        <w:rPr>
          <w:highlight w:val="yellow"/>
        </w:rPr>
      </w:pPr>
      <w:r w:rsidRPr="000C41E8">
        <w:rPr>
          <w:rStyle w:val="FootnoteReference"/>
        </w:rPr>
        <w:footnoteRef/>
      </w:r>
      <w:r w:rsidRPr="000C41E8">
        <w:t xml:space="preserve"> </w:t>
      </w:r>
      <w:r w:rsidRPr="000C41E8" w:rsidR="008D2ACB">
        <w:rPr>
          <w:i/>
          <w:iCs/>
        </w:rPr>
        <w:t xml:space="preserve">2022 </w:t>
      </w:r>
      <w:r w:rsidR="00F9781C">
        <w:rPr>
          <w:i/>
          <w:iCs/>
        </w:rPr>
        <w:t xml:space="preserve">Equipment Authorization Security </w:t>
      </w:r>
      <w:r w:rsidRPr="000C41E8" w:rsidR="0054312A">
        <w:rPr>
          <w:i/>
          <w:iCs/>
        </w:rPr>
        <w:t>Report and Order</w:t>
      </w:r>
      <w:r w:rsidRPr="000C41E8" w:rsidR="001A441D">
        <w:t xml:space="preserve"> at</w:t>
      </w:r>
      <w:r w:rsidRPr="000C41E8" w:rsidR="0054312A">
        <w:t xml:space="preserve"> </w:t>
      </w:r>
      <w:r w:rsidRPr="000C41E8" w:rsidR="001554F1">
        <w:t xml:space="preserve">13565-66, </w:t>
      </w:r>
      <w:r w:rsidRPr="000C41E8" w:rsidR="0054312A">
        <w:t>para. 185</w:t>
      </w:r>
      <w:r w:rsidRPr="000C41E8" w:rsidR="005D1A6D">
        <w:t>.</w:t>
      </w:r>
    </w:p>
  </w:footnote>
  <w:footnote w:id="7">
    <w:p w:rsidR="00465626" w:rsidRPr="00173F68" w:rsidP="003530BC" w14:paraId="421857D2" w14:textId="2C4D6C44">
      <w:pPr>
        <w:pStyle w:val="FootnoteText"/>
      </w:pPr>
      <w:r w:rsidRPr="000C41E8">
        <w:rPr>
          <w:rStyle w:val="FootnoteReference"/>
        </w:rPr>
        <w:footnoteRef/>
      </w:r>
      <w:r w:rsidRPr="000C41E8">
        <w:t xml:space="preserve"> </w:t>
      </w:r>
      <w:r w:rsidRPr="000C41E8" w:rsidR="00CC3776">
        <w:rPr>
          <w:i/>
          <w:iCs/>
        </w:rPr>
        <w:t>See</w:t>
      </w:r>
      <w:r w:rsidRPr="000C41E8" w:rsidR="00CC3776">
        <w:t xml:space="preserve"> </w:t>
      </w:r>
      <w:r w:rsidRPr="000C41E8" w:rsidR="00776997">
        <w:t>Secure and Trusted Communications Networks Act of 2019</w:t>
      </w:r>
      <w:r w:rsidRPr="000C41E8" w:rsidR="008D467E">
        <w:t>,</w:t>
      </w:r>
      <w:r w:rsidRPr="000C41E8" w:rsidR="00776997">
        <w:t xml:space="preserve"> Pub. L. </w:t>
      </w:r>
      <w:r w:rsidR="006E529E">
        <w:t xml:space="preserve">No. </w:t>
      </w:r>
      <w:r w:rsidRPr="000C41E8" w:rsidR="00776997">
        <w:t>116-124</w:t>
      </w:r>
      <w:r w:rsidR="0017304A">
        <w:t>,</w:t>
      </w:r>
      <w:r w:rsidRPr="000C41E8" w:rsidR="00776997">
        <w:t xml:space="preserve"> § 2 </w:t>
      </w:r>
      <w:r w:rsidRPr="000C41E8" w:rsidR="00100B90">
        <w:t>(20</w:t>
      </w:r>
      <w:r w:rsidR="0003452D">
        <w:t>20</w:t>
      </w:r>
      <w:r w:rsidRPr="000C41E8" w:rsidR="00100B90">
        <w:t>)</w:t>
      </w:r>
      <w:r w:rsidRPr="000C41E8" w:rsidR="00776997">
        <w:t xml:space="preserve"> (codified at 47 U.S.C. § 1601</w:t>
      </w:r>
      <w:r w:rsidRPr="000C41E8" w:rsidR="00CC3776">
        <w:t>)</w:t>
      </w:r>
      <w:r w:rsidRPr="000C41E8" w:rsidR="00776997">
        <w:t xml:space="preserve"> (Secure Networks Act)</w:t>
      </w:r>
      <w:r w:rsidR="00CC7DC5">
        <w:t xml:space="preserve">; Secure Equipment Act of 2021, </w:t>
      </w:r>
      <w:r w:rsidR="0004556B">
        <w:t>Pub. L. No. 117-55</w:t>
      </w:r>
      <w:r w:rsidR="00726AFF">
        <w:t>, § 2 (</w:t>
      </w:r>
      <w:r w:rsidR="00612DB2">
        <w:t>codified at 47 U.S.C. § 1601 note</w:t>
      </w:r>
      <w:r w:rsidR="002D3A70">
        <w:t>)</w:t>
      </w:r>
      <w:r w:rsidR="0089175A">
        <w:t xml:space="preserve"> (Secure Equipment Act)</w:t>
      </w:r>
      <w:r w:rsidRPr="000C41E8" w:rsidR="00CC3776">
        <w:t>.</w:t>
      </w:r>
    </w:p>
  </w:footnote>
  <w:footnote w:id="8">
    <w:p w:rsidR="00F27410" w:rsidRPr="00173F68" w:rsidP="003530BC" w14:paraId="1DD174BC" w14:textId="31CF6370">
      <w:pPr>
        <w:pStyle w:val="FootnoteText"/>
      </w:pPr>
      <w:r w:rsidRPr="00173F68">
        <w:rPr>
          <w:rStyle w:val="FootnoteReference"/>
        </w:rPr>
        <w:footnoteRef/>
      </w:r>
      <w:r w:rsidRPr="00173F68">
        <w:t xml:space="preserve"> </w:t>
      </w:r>
      <w:r w:rsidRPr="00173F68">
        <w:rPr>
          <w:i/>
          <w:iCs/>
        </w:rPr>
        <w:t xml:space="preserve">See </w:t>
      </w:r>
      <w:r w:rsidRPr="00173F68">
        <w:t>National Defense Authorization Act for Fiscal Year 2019, Pub. L. No. 115-232 at § 889</w:t>
      </w:r>
      <w:r w:rsidRPr="00173F68" w:rsidR="00227BF3">
        <w:t>(f)(3)(B)</w:t>
      </w:r>
      <w:r w:rsidRPr="00173F68">
        <w:t xml:space="preserve"> (2018) (</w:t>
      </w:r>
      <w:r w:rsidRPr="001D057C">
        <w:t>2019 NDAA</w:t>
      </w:r>
      <w:r w:rsidRPr="00173F68">
        <w:t>).</w:t>
      </w:r>
    </w:p>
  </w:footnote>
  <w:footnote w:id="9">
    <w:p w:rsidR="00BC062C" w:rsidRPr="00173F68" w:rsidP="003530BC" w14:paraId="41EEDAB4" w14:textId="1C2EBEAF">
      <w:pPr>
        <w:pStyle w:val="FootnoteText"/>
      </w:pPr>
      <w:r w:rsidRPr="00173F68">
        <w:rPr>
          <w:rStyle w:val="FootnoteReference"/>
        </w:rPr>
        <w:footnoteRef/>
      </w:r>
      <w:r w:rsidRPr="00173F68">
        <w:t xml:space="preserve"> </w:t>
      </w:r>
      <w:bookmarkStart w:id="2" w:name="_Hlk205896269"/>
      <w:r w:rsidRPr="00173F68">
        <w:rPr>
          <w:i/>
          <w:iCs/>
        </w:rPr>
        <w:t xml:space="preserve">See </w:t>
      </w:r>
      <w:r w:rsidR="009E1A30">
        <w:t>Secure Networks Act</w:t>
      </w:r>
      <w:r w:rsidR="0057753B">
        <w:t>.</w:t>
      </w:r>
      <w:r w:rsidR="0036705C">
        <w:t xml:space="preserve"> </w:t>
      </w:r>
      <w:bookmarkEnd w:id="2"/>
    </w:p>
  </w:footnote>
  <w:footnote w:id="10">
    <w:p w:rsidR="00BC062C" w:rsidRPr="00173F68" w:rsidP="003530BC" w14:paraId="0348F25A" w14:textId="15ECFA3C">
      <w:pPr>
        <w:pStyle w:val="FootnoteText"/>
      </w:pPr>
      <w:r w:rsidRPr="00173F68">
        <w:rPr>
          <w:rStyle w:val="FootnoteReference"/>
        </w:rPr>
        <w:footnoteRef/>
      </w:r>
      <w:r w:rsidRPr="00173F68">
        <w:t xml:space="preserve"> </w:t>
      </w:r>
      <w:r w:rsidR="008733FA">
        <w:t>47 U.S.C. § 1601(</w:t>
      </w:r>
      <w:r w:rsidR="00CE7B91">
        <w:t>b</w:t>
      </w:r>
      <w:r w:rsidR="008733FA">
        <w:t>)</w:t>
      </w:r>
      <w:r w:rsidR="00CE7B91">
        <w:t>, (d)</w:t>
      </w:r>
      <w:r w:rsidR="006E5C4F">
        <w:t xml:space="preserve">; </w:t>
      </w:r>
      <w:r w:rsidRPr="00173F68" w:rsidR="001F5B34">
        <w:t>2019 NDAA</w:t>
      </w:r>
      <w:r w:rsidRPr="00173F68" w:rsidR="001F5B34">
        <w:rPr>
          <w:i/>
          <w:iCs/>
        </w:rPr>
        <w:t xml:space="preserve"> </w:t>
      </w:r>
      <w:r w:rsidRPr="00173F68" w:rsidR="001F5B34">
        <w:t>§ 889</w:t>
      </w:r>
      <w:r w:rsidRPr="00173F68" w:rsidR="00F420C6">
        <w:t>(f)(3)</w:t>
      </w:r>
      <w:r w:rsidRPr="00173F68" w:rsidR="00CA5C76">
        <w:t>.</w:t>
      </w:r>
    </w:p>
  </w:footnote>
  <w:footnote w:id="11">
    <w:p w:rsidR="006B55F9" w:rsidRPr="00173F68" w:rsidP="003530BC" w14:paraId="15794756" w14:textId="3CA0D118">
      <w:pPr>
        <w:pStyle w:val="FootnoteText"/>
      </w:pPr>
      <w:r w:rsidRPr="00173F68">
        <w:rPr>
          <w:rStyle w:val="FootnoteReference"/>
        </w:rPr>
        <w:footnoteRef/>
      </w:r>
      <w:r w:rsidRPr="00173F68">
        <w:t xml:space="preserve"> </w:t>
      </w:r>
      <w:r w:rsidRPr="00173F68">
        <w:rPr>
          <w:i/>
          <w:iCs/>
        </w:rPr>
        <w:t>See</w:t>
      </w:r>
      <w:r w:rsidRPr="00173F68">
        <w:t xml:space="preserve"> </w:t>
      </w:r>
      <w:r w:rsidRPr="00173F68" w:rsidR="00C83715">
        <w:rPr>
          <w:i/>
          <w:iCs/>
        </w:rPr>
        <w:t>Public Safety and Homeland Security Bureau Announces Publication of the List of Equipment and Services Covered by Section 2 of the Secure Networks Act</w:t>
      </w:r>
      <w:r w:rsidRPr="00173F68" w:rsidR="00C83715">
        <w:t xml:space="preserve">, </w:t>
      </w:r>
      <w:r w:rsidR="00A6548F">
        <w:t>WC Docket No. 18-89, Public Notice</w:t>
      </w:r>
      <w:r w:rsidRPr="00173F68" w:rsidR="00C83715">
        <w:t xml:space="preserve">, </w:t>
      </w:r>
      <w:r w:rsidRPr="003C51AE" w:rsidR="003C51AE">
        <w:t>36 FCC Rcd 5534</w:t>
      </w:r>
      <w:r w:rsidRPr="00173F68" w:rsidR="00C83715">
        <w:t xml:space="preserve"> (</w:t>
      </w:r>
      <w:r w:rsidR="00A6548F">
        <w:t xml:space="preserve">PSHSB </w:t>
      </w:r>
      <w:r w:rsidRPr="00173F68" w:rsidR="00C83715">
        <w:t xml:space="preserve">Mar. 12, </w:t>
      </w:r>
      <w:r w:rsidRPr="00173F68" w:rsidR="00F36057">
        <w:t>2</w:t>
      </w:r>
      <w:r w:rsidRPr="00173F68" w:rsidR="00C83715">
        <w:t>021</w:t>
      </w:r>
      <w:r w:rsidRPr="00173F68" w:rsidR="009C28DE">
        <w:t>)</w:t>
      </w:r>
      <w:r w:rsidRPr="00173F68" w:rsidR="00C83715">
        <w:t>;</w:t>
      </w:r>
      <w:r w:rsidRPr="00173F68" w:rsidR="001B20EF">
        <w:t xml:space="preserve"> </w:t>
      </w:r>
      <w:r w:rsidRPr="00173F68" w:rsidR="001B20EF">
        <w:rPr>
          <w:i/>
          <w:iCs/>
        </w:rPr>
        <w:t>supra</w:t>
      </w:r>
      <w:r w:rsidRPr="00173F68" w:rsidR="001B20EF">
        <w:t xml:space="preserve"> </w:t>
      </w:r>
      <w:r w:rsidRPr="0065060F" w:rsidR="001B20EF">
        <w:t>n</w:t>
      </w:r>
      <w:r w:rsidRPr="0065060F" w:rsidR="00686636">
        <w:t>.1.</w:t>
      </w:r>
      <w:r w:rsidRPr="0065060F">
        <w:t xml:space="preserve"> </w:t>
      </w:r>
      <w:r w:rsidRPr="0065060F" w:rsidR="001A1BDD">
        <w:t xml:space="preserve"> </w:t>
      </w:r>
      <w:r w:rsidRPr="0065060F" w:rsidR="00DF2667">
        <w:t>The Commission has subsequently updated the Covered List to i</w:t>
      </w:r>
      <w:r w:rsidRPr="0065060F" w:rsidR="00C367E9">
        <w:t>dentify additional entities.</w:t>
      </w:r>
      <w:r w:rsidRPr="0065060F" w:rsidR="00B32B79">
        <w:t xml:space="preserve">  </w:t>
      </w:r>
      <w:r w:rsidRPr="0065060F" w:rsidR="000A34F3">
        <w:rPr>
          <w:i/>
          <w:iCs/>
        </w:rPr>
        <w:t xml:space="preserve">See </w:t>
      </w:r>
      <w:r w:rsidRPr="0065060F" w:rsidR="009D4904">
        <w:rPr>
          <w:i/>
          <w:iCs/>
        </w:rPr>
        <w:t>Public Safety and Homeland Security Bureau Announces Exemption of Certain Uncrewed Aircraft Systems (UAS) and UAS Critical Components From FCC Covered List</w:t>
      </w:r>
      <w:r w:rsidRPr="0065060F" w:rsidR="009D4904">
        <w:t>, Public Notice, WC Docket No. 18- 89, ET Docket No. 21-232, EA Docket No. 21-233, DA 26-22</w:t>
      </w:r>
      <w:r w:rsidRPr="0065060F" w:rsidR="008C09C8">
        <w:rPr>
          <w:snapToGrid w:val="0"/>
          <w:kern w:val="28"/>
        </w:rPr>
        <w:t xml:space="preserve"> (</w:t>
      </w:r>
      <w:r w:rsidRPr="0065060F" w:rsidR="008C09C8">
        <w:t>PSHSB Jan. 7, 2026)</w:t>
      </w:r>
      <w:r w:rsidRPr="0065060F" w:rsidR="009D4904">
        <w:t>;</w:t>
      </w:r>
      <w:r w:rsidRPr="0065060F" w:rsidR="009D4904">
        <w:rPr>
          <w:i/>
          <w:iCs/>
        </w:rPr>
        <w:t xml:space="preserve"> Public Safety and Homeland Security Bureau Announces Addition of Uncrewed Aircraft Systems (UAS) and UAS Critical Components Produced Abroad, and Equipment and Services Listed in Section 1709 of the FY2025 NDAA</w:t>
      </w:r>
      <w:r w:rsidRPr="0065060F" w:rsidR="009D4904">
        <w:t xml:space="preserve">, </w:t>
      </w:r>
      <w:r w:rsidRPr="0065060F" w:rsidR="009D4904">
        <w:rPr>
          <w:i/>
          <w:iCs/>
        </w:rPr>
        <w:t>to FCC Covered List</w:t>
      </w:r>
      <w:r w:rsidRPr="0065060F" w:rsidR="009D4904">
        <w:t>, Public Notice, WC Docket No. 18- 89, ET Docket No. 21-232, EA Docket No. 21-233, DA 25-1086 (PSHSB Dec. 22, 2025)</w:t>
      </w:r>
      <w:r w:rsidRPr="0065060F" w:rsidR="0071056B">
        <w:t>;</w:t>
      </w:r>
      <w:r w:rsidRPr="003C0F4F" w:rsidR="0071056B">
        <w:t xml:space="preserve"> </w:t>
      </w:r>
      <w:r w:rsidRPr="0065060F" w:rsidR="000A34F3">
        <w:rPr>
          <w:i/>
          <w:iCs/>
        </w:rPr>
        <w:t>Public Safety and Homeland Security Bureau Announces Update to List of Covered Equipment and Services Pursuant to Section 2 of the Secure Networks Act</w:t>
      </w:r>
      <w:r w:rsidRPr="0065060F" w:rsidR="000A34F3">
        <w:t xml:space="preserve">, </w:t>
      </w:r>
      <w:r w:rsidRPr="0065060F" w:rsidR="00E85545">
        <w:t xml:space="preserve">WC Docket No. 18-89, ET Docket No. 21-232, EA Docket No. 21-233, </w:t>
      </w:r>
      <w:r w:rsidRPr="0065060F" w:rsidR="000A34F3">
        <w:t>Public Notice,</w:t>
      </w:r>
      <w:r w:rsidRPr="0065060F" w:rsidR="001046EE">
        <w:t xml:space="preserve"> 39 FCC Rcd 8395 </w:t>
      </w:r>
      <w:r w:rsidRPr="0065060F" w:rsidR="000A34F3">
        <w:t>(</w:t>
      </w:r>
      <w:r w:rsidRPr="0065060F" w:rsidR="00E85545">
        <w:t>PSHSB</w:t>
      </w:r>
      <w:r w:rsidRPr="0065060F" w:rsidR="000A34F3">
        <w:t xml:space="preserve"> July 23, 2024)</w:t>
      </w:r>
      <w:r w:rsidRPr="0065060F" w:rsidR="008B53F7">
        <w:t xml:space="preserve"> (adding Kaspersky Lab</w:t>
      </w:r>
      <w:r w:rsidRPr="0065060F" w:rsidR="006B0E1E">
        <w:t>, Inc.</w:t>
      </w:r>
      <w:r w:rsidRPr="0065060F" w:rsidR="008B53F7">
        <w:t xml:space="preserve"> to the Covered List)</w:t>
      </w:r>
      <w:r w:rsidRPr="0065060F" w:rsidR="00B32B79">
        <w:t>;</w:t>
      </w:r>
      <w:r w:rsidRPr="0065060F" w:rsidR="008B53F7">
        <w:rPr>
          <w:i/>
          <w:iCs/>
          <w:snapToGrid w:val="0"/>
          <w:color w:val="212529"/>
          <w:kern w:val="28"/>
          <w:shd w:val="clear" w:color="auto" w:fill="FFFFFF"/>
        </w:rPr>
        <w:t xml:space="preserve"> </w:t>
      </w:r>
      <w:r w:rsidRPr="0065060F" w:rsidR="0078442C">
        <w:rPr>
          <w:i/>
          <w:iCs/>
          <w:color w:val="212529"/>
          <w:shd w:val="clear" w:color="auto" w:fill="FFFFFF"/>
        </w:rPr>
        <w:t>Public Safety and Homeland Security Bureau Announces Additions to the List of Equipment and Services Covered by Section 2 of the Secure Networks Act</w:t>
      </w:r>
      <w:r w:rsidRPr="0065060F" w:rsidR="0078442C">
        <w:rPr>
          <w:color w:val="212529"/>
          <w:shd w:val="clear" w:color="auto" w:fill="FFFFFF"/>
        </w:rPr>
        <w:t xml:space="preserve">, </w:t>
      </w:r>
      <w:r w:rsidRPr="0065060F" w:rsidR="00E85545">
        <w:t xml:space="preserve">WC Docket No. 18-89, ET Docket No. 21-232, EA Docket No. 21-233, </w:t>
      </w:r>
      <w:r w:rsidRPr="0065060F" w:rsidR="0078442C">
        <w:rPr>
          <w:color w:val="212529"/>
          <w:shd w:val="clear" w:color="auto" w:fill="FFFFFF"/>
        </w:rPr>
        <w:t xml:space="preserve">Public Notice, </w:t>
      </w:r>
      <w:r w:rsidRPr="0065060F" w:rsidR="001046EE">
        <w:t xml:space="preserve">37 FCC Rcd 10735 </w:t>
      </w:r>
      <w:r w:rsidRPr="0065060F" w:rsidR="0078442C">
        <w:rPr>
          <w:color w:val="212529"/>
          <w:shd w:val="clear" w:color="auto" w:fill="FFFFFF"/>
        </w:rPr>
        <w:t>(</w:t>
      </w:r>
      <w:r w:rsidRPr="0065060F" w:rsidR="00E85545">
        <w:rPr>
          <w:color w:val="212529"/>
          <w:shd w:val="clear" w:color="auto" w:fill="FFFFFF"/>
        </w:rPr>
        <w:t xml:space="preserve">PSHSB </w:t>
      </w:r>
      <w:r w:rsidRPr="0065060F" w:rsidR="0078442C">
        <w:rPr>
          <w:color w:val="212529"/>
          <w:shd w:val="clear" w:color="auto" w:fill="FFFFFF"/>
        </w:rPr>
        <w:t xml:space="preserve">Sept. 20, 2022) (adding </w:t>
      </w:r>
      <w:r w:rsidRPr="0065060F" w:rsidR="00456D98">
        <w:rPr>
          <w:color w:val="212529"/>
          <w:shd w:val="clear" w:color="auto" w:fill="FFFFFF"/>
        </w:rPr>
        <w:t>Pac</w:t>
      </w:r>
      <w:r w:rsidRPr="0065060F" w:rsidR="00053BF2">
        <w:rPr>
          <w:color w:val="212529"/>
          <w:shd w:val="clear" w:color="auto" w:fill="FFFFFF"/>
        </w:rPr>
        <w:t xml:space="preserve">ific </w:t>
      </w:r>
      <w:r w:rsidRPr="0065060F" w:rsidR="00053BF2">
        <w:rPr>
          <w:snapToGrid w:val="0"/>
          <w:color w:val="333333"/>
          <w:kern w:val="28"/>
          <w:shd w:val="clear" w:color="auto" w:fill="FFFFFF"/>
        </w:rPr>
        <w:t>Networks Corp and its wholly-owned subsidiary </w:t>
      </w:r>
      <w:r w:rsidRPr="0065060F" w:rsidR="00053BF2">
        <w:rPr>
          <w:snapToGrid w:val="0"/>
          <w:color w:val="333333"/>
          <w:kern w:val="28"/>
          <w:shd w:val="clear" w:color="auto" w:fill="FFFFFF"/>
        </w:rPr>
        <w:t>ComNet</w:t>
      </w:r>
      <w:r w:rsidRPr="0065060F" w:rsidR="00053BF2">
        <w:rPr>
          <w:snapToGrid w:val="0"/>
          <w:color w:val="333333"/>
          <w:kern w:val="28"/>
          <w:shd w:val="clear" w:color="auto" w:fill="FFFFFF"/>
        </w:rPr>
        <w:t xml:space="preserve"> (USA) LLC and China Unicom (Americas) Operations Limited to Covered List)</w:t>
      </w:r>
      <w:r w:rsidRPr="0065060F" w:rsidR="00B60DDC">
        <w:rPr>
          <w:snapToGrid w:val="0"/>
          <w:color w:val="333333"/>
          <w:kern w:val="28"/>
          <w:shd w:val="clear" w:color="auto" w:fill="FFFFFF"/>
        </w:rPr>
        <w:t xml:space="preserve">;  </w:t>
      </w:r>
      <w:r w:rsidRPr="0065060F" w:rsidR="00724C92">
        <w:rPr>
          <w:i/>
          <w:iCs/>
        </w:rPr>
        <w:t>Public Safety and Homeland Security Bureau Announces Additions to the List of Equipment and Services Covered by Section 2 of the Secure Networks Act</w:t>
      </w:r>
      <w:r w:rsidRPr="0065060F" w:rsidR="003D6FDA">
        <w:t xml:space="preserve">, </w:t>
      </w:r>
      <w:r w:rsidRPr="0065060F" w:rsidR="00E85545">
        <w:t xml:space="preserve">WC Docket No. 18-89, </w:t>
      </w:r>
      <w:r w:rsidRPr="0065060F" w:rsidR="003D6FDA">
        <w:t xml:space="preserve">Public Notice, </w:t>
      </w:r>
      <w:r w:rsidRPr="0065060F" w:rsidR="001046EE">
        <w:t xml:space="preserve">37 FCC Rcd 4078 </w:t>
      </w:r>
      <w:r w:rsidRPr="0065060F" w:rsidR="00804779">
        <w:t>(</w:t>
      </w:r>
      <w:r w:rsidRPr="0065060F" w:rsidR="00E85545">
        <w:t>PSHSB</w:t>
      </w:r>
      <w:r w:rsidRPr="0065060F" w:rsidR="00804779">
        <w:t xml:space="preserve"> Mar. 25, 2022) (adding </w:t>
      </w:r>
      <w:r w:rsidRPr="0065060F" w:rsidR="0066469C">
        <w:t>AO Kaspersky Lab, China Telecom (Americas) Corp., and China Mobile</w:t>
      </w:r>
      <w:r w:rsidRPr="00173F68" w:rsidR="0066469C">
        <w:t xml:space="preserve"> International USA Inc.</w:t>
      </w:r>
      <w:r w:rsidRPr="00173F68" w:rsidR="00B60DDC">
        <w:t xml:space="preserve"> to the Covered List</w:t>
      </w:r>
      <w:r w:rsidRPr="00173F68" w:rsidR="0066469C">
        <w:t>)</w:t>
      </w:r>
      <w:r w:rsidRPr="00173F68" w:rsidR="00C367E9">
        <w:t xml:space="preserve">.  For simplicity, </w:t>
      </w:r>
      <w:r w:rsidRPr="00173F68" w:rsidR="00D4621C">
        <w:t xml:space="preserve">we will </w:t>
      </w:r>
      <w:r w:rsidRPr="00173F68" w:rsidR="00FF2BD0">
        <w:t xml:space="preserve">refer to the </w:t>
      </w:r>
      <w:r w:rsidRPr="00173F68" w:rsidR="00D4621C">
        <w:t xml:space="preserve">entities identified by name on the Covered List </w:t>
      </w:r>
      <w:r w:rsidRPr="00173F68" w:rsidR="004450CF">
        <w:t>as “Named Entities.”</w:t>
      </w:r>
    </w:p>
  </w:footnote>
  <w:footnote w:id="12">
    <w:p w:rsidR="005E495F" w:rsidRPr="00173F68" w:rsidP="003530BC" w14:paraId="253ECDBE" w14:textId="0E5C0C56">
      <w:pPr>
        <w:pStyle w:val="FootnoteText"/>
      </w:pPr>
      <w:r w:rsidRPr="00173F68">
        <w:rPr>
          <w:rStyle w:val="FootnoteReference"/>
        </w:rPr>
        <w:footnoteRef/>
      </w:r>
      <w:r w:rsidRPr="00173F68">
        <w:t xml:space="preserve"> </w:t>
      </w:r>
      <w:r w:rsidRPr="00173F68" w:rsidR="0020742F">
        <w:rPr>
          <w:i/>
          <w:iCs/>
        </w:rPr>
        <w:t>See</w:t>
      </w:r>
      <w:r w:rsidRPr="00173F68" w:rsidR="0020742F">
        <w:t xml:space="preserve"> </w:t>
      </w:r>
      <w:r w:rsidRPr="000F1478" w:rsidR="0020742F">
        <w:t>Covered List</w:t>
      </w:r>
      <w:r w:rsidRPr="00173F68" w:rsidR="0020742F">
        <w:t>.</w:t>
      </w:r>
      <w:r w:rsidR="00A17FE9">
        <w:t xml:space="preserve">  </w:t>
      </w:r>
      <w:r w:rsidRPr="00A17FE9" w:rsidR="00A17FE9">
        <w:t xml:space="preserve">Under the 2019 NDAA, Congress designated </w:t>
      </w:r>
      <w:r w:rsidR="00A17FE9">
        <w:t>“</w:t>
      </w:r>
      <w:r w:rsidRPr="00A17FE9" w:rsidR="00A17FE9">
        <w:t>Dahua Technology Company</w:t>
      </w:r>
      <w:r w:rsidR="00A17FE9">
        <w:t>”</w:t>
      </w:r>
      <w:r w:rsidRPr="00A17FE9" w:rsidR="00A17FE9">
        <w:t xml:space="preserve"> as a prohibited entity</w:t>
      </w:r>
      <w:r w:rsidR="00C06EF6">
        <w:t>, which is how the company is identified on the Commission’s Covered List</w:t>
      </w:r>
      <w:r w:rsidRPr="00A17FE9" w:rsidR="00A17FE9">
        <w:t>.</w:t>
      </w:r>
      <w:r w:rsidR="00E224B4">
        <w:t xml:space="preserve">  </w:t>
      </w:r>
      <w:r w:rsidRPr="00FC24AC" w:rsidR="00FC24AC">
        <w:rPr>
          <w:i/>
          <w:iCs/>
        </w:rPr>
        <w:t>See</w:t>
      </w:r>
      <w:r w:rsidR="00FC24AC">
        <w:t xml:space="preserve"> 2019 NDAA.</w:t>
      </w:r>
      <w:r w:rsidR="00F93301">
        <w:t xml:space="preserve">  </w:t>
      </w:r>
      <w:r w:rsidRPr="00173F68" w:rsidR="00812E17">
        <w:t xml:space="preserve">Dahua Technology Company’s formal legal name is Zhejiang Dahua Technology Co., Ltd.  </w:t>
      </w:r>
      <w:r w:rsidRPr="00173F68" w:rsidR="00812E17">
        <w:rPr>
          <w:i/>
          <w:iCs/>
        </w:rPr>
        <w:t>See</w:t>
      </w:r>
      <w:r w:rsidRPr="00173F68" w:rsidR="00812E17">
        <w:t xml:space="preserve"> Response to Letter of Inquiry from Dahua Technology Company to Spectrum Enforcement Division, FCC Enforcement Bureau</w:t>
      </w:r>
      <w:r w:rsidRPr="00173F68" w:rsidR="005D0E22">
        <w:t xml:space="preserve">, </w:t>
      </w:r>
      <w:r w:rsidRPr="00173F68" w:rsidR="00812E17">
        <w:t>note 4 (Mar. 19, 2025) (on file in EB-SED-25-00038004) (First Dahua LOI Response).</w:t>
      </w:r>
    </w:p>
  </w:footnote>
  <w:footnote w:id="13">
    <w:p w:rsidR="00F55739" w:rsidP="003530BC" w14:paraId="08C8DCBC" w14:textId="5F4C24AA">
      <w:pPr>
        <w:pStyle w:val="FootnoteText"/>
      </w:pPr>
      <w:r>
        <w:rPr>
          <w:rStyle w:val="FootnoteReference"/>
        </w:rPr>
        <w:footnoteRef/>
      </w:r>
      <w:r>
        <w:t xml:space="preserve"> </w:t>
      </w:r>
      <w:r w:rsidRPr="001D057C" w:rsidR="001D057C">
        <w:rPr>
          <w:i/>
          <w:iCs/>
        </w:rPr>
        <w:t>See</w:t>
      </w:r>
      <w:r w:rsidR="001D057C">
        <w:t xml:space="preserve"> </w:t>
      </w:r>
      <w:r w:rsidRPr="00A02AB7" w:rsidR="00A02AB7">
        <w:t>Secure Equipment Act</w:t>
      </w:r>
      <w:r w:rsidR="001D057C">
        <w:t>.</w:t>
      </w:r>
    </w:p>
  </w:footnote>
  <w:footnote w:id="14">
    <w:p w:rsidR="00F36057" w:rsidRPr="003C0F4F" w:rsidP="003530BC" w14:paraId="0F22EAD2" w14:textId="00825645">
      <w:pPr>
        <w:pStyle w:val="FootnoteText"/>
        <w:rPr>
          <w:i/>
        </w:rPr>
      </w:pPr>
      <w:r w:rsidRPr="00173F68">
        <w:rPr>
          <w:rStyle w:val="FootnoteReference"/>
        </w:rPr>
        <w:footnoteRef/>
      </w:r>
      <w:r w:rsidRPr="00173F68">
        <w:t xml:space="preserve"> </w:t>
      </w:r>
      <w:r w:rsidRPr="00173F68" w:rsidR="00DF67B6">
        <w:rPr>
          <w:i/>
        </w:rPr>
        <w:t xml:space="preserve">See 2022 </w:t>
      </w:r>
      <w:r w:rsidR="005B31F4">
        <w:rPr>
          <w:i/>
          <w:iCs/>
        </w:rPr>
        <w:t>Equipment Authorization Security</w:t>
      </w:r>
      <w:r w:rsidRPr="00173F68" w:rsidR="00DF67B6">
        <w:rPr>
          <w:i/>
        </w:rPr>
        <w:t xml:space="preserve"> Report and Order </w:t>
      </w:r>
      <w:r w:rsidRPr="00173F68" w:rsidR="00DF67B6">
        <w:rPr>
          <w:iCs/>
        </w:rPr>
        <w:t xml:space="preserve">at </w:t>
      </w:r>
      <w:r w:rsidRPr="00173F68">
        <w:t>13566</w:t>
      </w:r>
      <w:r w:rsidRPr="00173F68" w:rsidR="00390DE1">
        <w:t>-67</w:t>
      </w:r>
      <w:r w:rsidRPr="00173F68">
        <w:t>, para. 186</w:t>
      </w:r>
      <w:r w:rsidRPr="00173F68" w:rsidR="008C64EC">
        <w:t xml:space="preserve">; </w:t>
      </w:r>
      <w:r w:rsidRPr="00173F68" w:rsidR="009C28DE">
        <w:t xml:space="preserve">47 </w:t>
      </w:r>
      <w:r w:rsidRPr="00173F68" w:rsidR="009C28DE">
        <w:t xml:space="preserve">CFR </w:t>
      </w:r>
      <w:r w:rsidRPr="00173F68" w:rsidR="001046EE">
        <w:rPr>
          <w:i/>
          <w:iCs/>
        </w:rPr>
        <w:t xml:space="preserve"> </w:t>
      </w:r>
      <w:r w:rsidRPr="00173F68" w:rsidR="001046EE">
        <w:t>§</w:t>
      </w:r>
      <w:r w:rsidRPr="00173F68" w:rsidR="001046EE">
        <w:t xml:space="preserve"> </w:t>
      </w:r>
      <w:r w:rsidRPr="00173F68" w:rsidR="009C28DE">
        <w:t>2.903.</w:t>
      </w:r>
      <w:r w:rsidR="009E0249">
        <w:t xml:space="preserve">  </w:t>
      </w:r>
      <w:r w:rsidR="00A26FA1">
        <w:rPr>
          <w:i/>
          <w:iCs/>
        </w:rPr>
        <w:t xml:space="preserve">See also supra </w:t>
      </w:r>
      <w:r w:rsidRPr="00A26FA1" w:rsidR="00A26FA1">
        <w:t>at n</w:t>
      </w:r>
      <w:r w:rsidR="00A26FA1">
        <w:t>.</w:t>
      </w:r>
      <w:r w:rsidR="00A26FA1">
        <w:fldChar w:fldCharType="begin"/>
      </w:r>
      <w:r w:rsidR="00A26FA1">
        <w:instrText xml:space="preserve"> NOTEREF _Ref220910279 \h </w:instrText>
      </w:r>
      <w:r w:rsidR="00A26FA1">
        <w:fldChar w:fldCharType="separate"/>
      </w:r>
      <w:r w:rsidR="00A26FA1">
        <w:t>2</w:t>
      </w:r>
      <w:r w:rsidR="00A26FA1">
        <w:fldChar w:fldCharType="end"/>
      </w:r>
      <w:r w:rsidRPr="00A26FA1" w:rsidR="00A26FA1">
        <w:t>.</w:t>
      </w:r>
      <w:r w:rsidR="00A26FA1">
        <w:rPr>
          <w:i/>
          <w:iCs/>
        </w:rPr>
        <w:t xml:space="preserve">   </w:t>
      </w:r>
    </w:p>
  </w:footnote>
  <w:footnote w:id="15">
    <w:p w:rsidR="00F120CD" w:rsidRPr="00173F68" w:rsidP="003530BC" w14:paraId="7DB65CB7" w14:textId="2953DCB6">
      <w:pPr>
        <w:pStyle w:val="FootnoteText"/>
      </w:pPr>
      <w:r w:rsidRPr="00173F68">
        <w:rPr>
          <w:rStyle w:val="FootnoteReference"/>
        </w:rPr>
        <w:footnoteRef/>
      </w:r>
      <w:r w:rsidRPr="00173F68">
        <w:t xml:space="preserve"> </w:t>
      </w:r>
      <w:r w:rsidRPr="00173F68" w:rsidR="009C20F0">
        <w:t>47 CFR § 2.903(</w:t>
      </w:r>
      <w:r w:rsidR="00451FE2">
        <w:t>d</w:t>
      </w:r>
      <w:r w:rsidRPr="00173F68" w:rsidR="009C20F0">
        <w:t>)</w:t>
      </w:r>
      <w:r w:rsidRPr="00173F68" w:rsidR="00F70884">
        <w:t>(1)</w:t>
      </w:r>
      <w:r w:rsidRPr="00173F68" w:rsidR="009C20F0">
        <w:t xml:space="preserve">; </w:t>
      </w:r>
      <w:r w:rsidRPr="00173F68" w:rsidR="004C6CD1">
        <w:t>88 Fed. Reg. 7592 (Feb. 6, 2023)</w:t>
      </w:r>
      <w:r w:rsidRPr="00173F68" w:rsidR="00F70884">
        <w:t xml:space="preserve"> (establishing the </w:t>
      </w:r>
      <w:r w:rsidRPr="00173F68" w:rsidR="0089470F">
        <w:t>submission deadline of March 8, 2023).</w:t>
      </w:r>
      <w:r w:rsidRPr="00173F68" w:rsidR="004C6CD1">
        <w:t xml:space="preserve"> </w:t>
      </w:r>
      <w:r w:rsidRPr="00173F68" w:rsidR="007F2F70">
        <w:t>Specif</w:t>
      </w:r>
      <w:r w:rsidRPr="00173F68" w:rsidR="00BB0F9D">
        <w:t>i</w:t>
      </w:r>
      <w:r w:rsidRPr="00173F68" w:rsidR="007F2F70">
        <w:t>cally, s</w:t>
      </w:r>
      <w:r w:rsidRPr="00173F68" w:rsidR="00853FE9">
        <w:t>ection 2.903(</w:t>
      </w:r>
      <w:r w:rsidR="00C5058F">
        <w:t>d</w:t>
      </w:r>
      <w:r w:rsidRPr="00173F68" w:rsidR="00853FE9">
        <w:t>) re</w:t>
      </w:r>
      <w:r w:rsidRPr="00173F68" w:rsidR="002A000B">
        <w:t xml:space="preserve">quires </w:t>
      </w:r>
      <w:r w:rsidRPr="00173F68" w:rsidR="00853FE9">
        <w:t xml:space="preserve">that </w:t>
      </w:r>
      <w:r w:rsidRPr="00173F68" w:rsidR="00206E10">
        <w:t xml:space="preserve">each </w:t>
      </w:r>
      <w:r w:rsidRPr="00173F68" w:rsidR="00853FE9">
        <w:t>Named Entit</w:t>
      </w:r>
      <w:r w:rsidRPr="00173F68" w:rsidR="00206E10">
        <w:t>y</w:t>
      </w:r>
      <w:r w:rsidRPr="00173F68" w:rsidR="00853FE9">
        <w:t xml:space="preserve"> provide</w:t>
      </w:r>
      <w:r w:rsidRPr="00173F68" w:rsidR="00206E10">
        <w:t>s</w:t>
      </w:r>
      <w:r w:rsidRPr="00173F68" w:rsidR="00853FE9">
        <w:t xml:space="preserve">: the full name, mailing address or physical address (if different from mailing address), email address, and telephone number of </w:t>
      </w:r>
      <w:r w:rsidRPr="00173F68" w:rsidR="00404CFB">
        <w:t xml:space="preserve">its </w:t>
      </w:r>
      <w:r w:rsidRPr="00173F68" w:rsidR="00853FE9">
        <w:t>associated entities (e.g., subsidiaries or affiliates) identified on the Covered List as producing covered communications equipment.</w:t>
      </w:r>
      <w:r w:rsidRPr="00173F68" w:rsidR="00D561AA">
        <w:t xml:space="preserve">  In the </w:t>
      </w:r>
      <w:r w:rsidRPr="00173F68" w:rsidR="00D561AA">
        <w:rPr>
          <w:i/>
          <w:iCs/>
        </w:rPr>
        <w:t>202</w:t>
      </w:r>
      <w:r w:rsidRPr="00173F68" w:rsidR="00B407BE">
        <w:rPr>
          <w:i/>
          <w:iCs/>
        </w:rPr>
        <w:t xml:space="preserve">2 </w:t>
      </w:r>
      <w:r w:rsidRPr="005B31F4" w:rsidR="005B31F4">
        <w:rPr>
          <w:i/>
          <w:iCs/>
        </w:rPr>
        <w:t>Equipment Authorization Security</w:t>
      </w:r>
      <w:r w:rsidRPr="00173F68" w:rsidR="00B407BE">
        <w:rPr>
          <w:i/>
          <w:iCs/>
        </w:rPr>
        <w:t xml:space="preserve"> Report and Order</w:t>
      </w:r>
      <w:r w:rsidRPr="00173F68" w:rsidR="00B407BE">
        <w:t>, the Commission</w:t>
      </w:r>
      <w:r w:rsidRPr="00173F68" w:rsidR="0041666A">
        <w:t xml:space="preserve"> emphasized that “r</w:t>
      </w:r>
      <w:r w:rsidRPr="00173F68" w:rsidR="00C51F45">
        <w:t>equiring that this information be provided to the Commission and made public aligns with the</w:t>
      </w:r>
      <w:r w:rsidRPr="00173F68" w:rsidR="0041666A">
        <w:t xml:space="preserve"> </w:t>
      </w:r>
      <w:r w:rsidRPr="00173F68" w:rsidR="00C51F45">
        <w:t>regulatory requirements that the Commission proposed in the NPRM and that we are adopting, namely</w:t>
      </w:r>
      <w:r w:rsidRPr="00173F68" w:rsidR="0041666A">
        <w:t xml:space="preserve"> </w:t>
      </w:r>
      <w:r w:rsidRPr="00173F68" w:rsidR="00C51F45">
        <w:t>placing responsibilities on applicants to attest that their equipment is not “covered” equipment produced</w:t>
      </w:r>
      <w:r w:rsidRPr="00173F68" w:rsidR="0041666A">
        <w:t xml:space="preserve"> </w:t>
      </w:r>
      <w:r w:rsidRPr="00173F68" w:rsidR="00C51F45">
        <w:t>by any of entities identified on the Covered List.</w:t>
      </w:r>
      <w:r w:rsidRPr="00173F68" w:rsidR="0041666A">
        <w:t>”</w:t>
      </w:r>
      <w:r w:rsidRPr="00173F68" w:rsidR="004E3913">
        <w:t xml:space="preserve">  </w:t>
      </w:r>
      <w:r w:rsidRPr="00173F68" w:rsidR="0041666A">
        <w:rPr>
          <w:i/>
          <w:iCs/>
        </w:rPr>
        <w:t xml:space="preserve">2022 </w:t>
      </w:r>
      <w:r w:rsidRPr="00B46F54" w:rsidR="00B46F54">
        <w:rPr>
          <w:i/>
          <w:iCs/>
        </w:rPr>
        <w:t>Equipment Authorization Security</w:t>
      </w:r>
      <w:r w:rsidRPr="00173F68" w:rsidR="0041666A">
        <w:rPr>
          <w:i/>
          <w:iCs/>
        </w:rPr>
        <w:t xml:space="preserve"> Report and Order</w:t>
      </w:r>
      <w:r w:rsidRPr="00173F68" w:rsidR="003D2A7D">
        <w:rPr>
          <w:i/>
          <w:iCs/>
        </w:rPr>
        <w:t xml:space="preserve"> </w:t>
      </w:r>
      <w:r w:rsidRPr="00173F68" w:rsidR="003D2A7D">
        <w:t>at 13566, para. 185.</w:t>
      </w:r>
      <w:r w:rsidRPr="00173F68" w:rsidR="00677BCE">
        <w:t xml:space="preserve">  The Commission further stated that “</w:t>
      </w:r>
      <w:r w:rsidRPr="00173F68" w:rsidR="00B11799">
        <w:t>it is also critical that such information be up-to-date and maintained in a place for</w:t>
      </w:r>
      <w:r w:rsidRPr="00173F68" w:rsidR="004671EF">
        <w:t xml:space="preserve"> </w:t>
      </w:r>
      <w:r w:rsidRPr="00173F68" w:rsidR="00B11799">
        <w:t>all interested parties to reference for purposes of compliance with our rules, including the applicants</w:t>
      </w:r>
      <w:r w:rsidRPr="00173F68" w:rsidR="00004A28">
        <w:t xml:space="preserve">’ </w:t>
      </w:r>
      <w:r w:rsidRPr="00173F68" w:rsidR="00B11799">
        <w:t>attestation requirements.</w:t>
      </w:r>
      <w:r w:rsidRPr="00173F68" w:rsidR="00677BCE">
        <w:t xml:space="preserve">”  </w:t>
      </w:r>
      <w:r w:rsidRPr="00173F68" w:rsidR="004671EF">
        <w:rPr>
          <w:i/>
          <w:iCs/>
        </w:rPr>
        <w:t>Id</w:t>
      </w:r>
      <w:r w:rsidRPr="00173F68" w:rsidR="004671EF">
        <w:t>.</w:t>
      </w:r>
      <w:r w:rsidRPr="00173F68" w:rsidR="00677BCE">
        <w:t xml:space="preserve">  The Commission </w:t>
      </w:r>
      <w:r w:rsidRPr="00173F68" w:rsidR="00004A28">
        <w:t>therefore found</w:t>
      </w:r>
      <w:r w:rsidRPr="00173F68" w:rsidR="00677BCE">
        <w:t xml:space="preserve"> that</w:t>
      </w:r>
      <w:r w:rsidRPr="00173F68" w:rsidR="00004A28">
        <w:t>, in bal</w:t>
      </w:r>
      <w:r w:rsidRPr="00173F68" w:rsidR="00852CA5">
        <w:t xml:space="preserve">ancing the various interests, </w:t>
      </w:r>
      <w:r w:rsidRPr="00173F68" w:rsidR="00744AE4">
        <w:t>“</w:t>
      </w:r>
      <w:r w:rsidRPr="00173F68" w:rsidR="00852CA5">
        <w:t>the public interest in the public knowing which entities are subsidiaries or affiliates of entities on the</w:t>
      </w:r>
      <w:r w:rsidRPr="00173F68" w:rsidR="00744AE4">
        <w:t xml:space="preserve"> </w:t>
      </w:r>
      <w:r w:rsidRPr="00173F68" w:rsidR="00852CA5">
        <w:t>Covered List outweighs whatever private interest those entities may have in keeping this information confidential.</w:t>
      </w:r>
      <w:r w:rsidRPr="00173F68" w:rsidR="00744AE4">
        <w:t xml:space="preserve">”  </w:t>
      </w:r>
      <w:r w:rsidRPr="00173F68" w:rsidR="00744AE4">
        <w:rPr>
          <w:i/>
          <w:iCs/>
        </w:rPr>
        <w:t>Id</w:t>
      </w:r>
      <w:r w:rsidRPr="00173F68" w:rsidR="00744AE4">
        <w:t>. at n.459</w:t>
      </w:r>
      <w:r w:rsidRPr="00173F68" w:rsidR="00BE38BE">
        <w:t>.</w:t>
      </w:r>
    </w:p>
  </w:footnote>
  <w:footnote w:id="16">
    <w:p w:rsidR="00116919" w:rsidRPr="00173F68" w:rsidP="003530BC" w14:paraId="55478EBE" w14:textId="114703C1">
      <w:pPr>
        <w:pStyle w:val="FootnoteText"/>
      </w:pPr>
      <w:r w:rsidRPr="00173F68">
        <w:rPr>
          <w:rStyle w:val="FootnoteReference"/>
        </w:rPr>
        <w:footnoteRef/>
      </w:r>
      <w:r w:rsidRPr="00173F68">
        <w:t xml:space="preserve"> 47 CFR § 2.903(</w:t>
      </w:r>
      <w:r w:rsidR="00451FE2">
        <w:t>d</w:t>
      </w:r>
      <w:r w:rsidRPr="00173F68">
        <w:t>)(2)</w:t>
      </w:r>
      <w:r w:rsidRPr="00173F68" w:rsidR="005018FF">
        <w:t>.</w:t>
      </w:r>
    </w:p>
  </w:footnote>
  <w:footnote w:id="17">
    <w:p w:rsidR="00A34B14" w:rsidRPr="00173F68" w:rsidP="003530BC" w14:paraId="73FC25C5" w14:textId="6C67C5D6">
      <w:pPr>
        <w:pStyle w:val="FootnoteText"/>
      </w:pPr>
      <w:r w:rsidRPr="00173F68">
        <w:rPr>
          <w:rStyle w:val="FootnoteReference"/>
        </w:rPr>
        <w:footnoteRef/>
      </w:r>
      <w:r w:rsidRPr="00173F68">
        <w:t xml:space="preserve"> 47 CFR 2.903(</w:t>
      </w:r>
      <w:r w:rsidR="00451FE2">
        <w:t>d</w:t>
      </w:r>
      <w:r w:rsidRPr="00173F68">
        <w:t>)(3)</w:t>
      </w:r>
      <w:r w:rsidRPr="00173F68" w:rsidR="00F120CD">
        <w:t xml:space="preserve">.  </w:t>
      </w:r>
    </w:p>
  </w:footnote>
  <w:footnote w:id="18">
    <w:p w:rsidR="00A06047" w:rsidRPr="00173F68" w:rsidP="003530BC" w14:paraId="40A2BCB0" w14:textId="29978495">
      <w:pPr>
        <w:pStyle w:val="FootnoteText"/>
      </w:pPr>
      <w:r w:rsidRPr="00173F68">
        <w:rPr>
          <w:rStyle w:val="FootnoteReference"/>
        </w:rPr>
        <w:footnoteRef/>
      </w:r>
      <w:r w:rsidRPr="00173F68">
        <w:t xml:space="preserve"> </w:t>
      </w:r>
      <w:r w:rsidRPr="00173F68">
        <w:rPr>
          <w:i/>
          <w:iCs/>
        </w:rPr>
        <w:t xml:space="preserve">2022 </w:t>
      </w:r>
      <w:r w:rsidR="00991AAA">
        <w:rPr>
          <w:i/>
          <w:iCs/>
        </w:rPr>
        <w:t xml:space="preserve">Equipment </w:t>
      </w:r>
      <w:r w:rsidR="00833E04">
        <w:rPr>
          <w:i/>
          <w:iCs/>
        </w:rPr>
        <w:t>Authorization</w:t>
      </w:r>
      <w:r w:rsidR="00991AAA">
        <w:rPr>
          <w:i/>
          <w:iCs/>
        </w:rPr>
        <w:t xml:space="preserve"> </w:t>
      </w:r>
      <w:r w:rsidR="00833E04">
        <w:rPr>
          <w:i/>
          <w:iCs/>
        </w:rPr>
        <w:t>Security</w:t>
      </w:r>
      <w:r w:rsidR="00AD3954">
        <w:rPr>
          <w:i/>
          <w:iCs/>
        </w:rPr>
        <w:t xml:space="preserve"> </w:t>
      </w:r>
      <w:r w:rsidRPr="00173F68">
        <w:rPr>
          <w:i/>
          <w:iCs/>
        </w:rPr>
        <w:t>Report and Order</w:t>
      </w:r>
      <w:r w:rsidRPr="00173F68">
        <w:t xml:space="preserve"> at 13566, para. 185.</w:t>
      </w:r>
    </w:p>
  </w:footnote>
  <w:footnote w:id="19">
    <w:p w:rsidR="00A06047" w:rsidRPr="00173F68" w:rsidP="003530BC" w14:paraId="3E2D7AB0" w14:textId="77777777">
      <w:pPr>
        <w:pStyle w:val="FootnoteText"/>
      </w:pPr>
      <w:r w:rsidRPr="00173F68">
        <w:rPr>
          <w:rStyle w:val="FootnoteReference"/>
        </w:rPr>
        <w:footnoteRef/>
      </w:r>
      <w:r w:rsidRPr="00173F68">
        <w:t xml:space="preserve"> </w:t>
      </w:r>
      <w:r w:rsidRPr="00173F68">
        <w:rPr>
          <w:i/>
          <w:iCs/>
        </w:rPr>
        <w:t>Id.</w:t>
      </w:r>
    </w:p>
  </w:footnote>
  <w:footnote w:id="20">
    <w:p w:rsidR="00A06047" w:rsidRPr="00173F68" w:rsidP="003530BC" w14:paraId="4C7AF28D" w14:textId="2B297AB1">
      <w:pPr>
        <w:pStyle w:val="FootnoteText"/>
      </w:pPr>
      <w:r w:rsidRPr="00173F68">
        <w:rPr>
          <w:rStyle w:val="FootnoteReference"/>
        </w:rPr>
        <w:footnoteRef/>
      </w:r>
      <w:r w:rsidRPr="00173F68">
        <w:t xml:space="preserve"> </w:t>
      </w:r>
      <w:r w:rsidRPr="00173F68">
        <w:rPr>
          <w:i/>
          <w:iCs/>
        </w:rPr>
        <w:t>Id.</w:t>
      </w:r>
    </w:p>
  </w:footnote>
  <w:footnote w:id="21">
    <w:p w:rsidR="00B611B8" w:rsidRPr="00173F68" w:rsidP="003530BC" w14:paraId="01D2603C" w14:textId="37BA41FD">
      <w:pPr>
        <w:pStyle w:val="FootnoteText"/>
      </w:pPr>
      <w:r w:rsidRPr="00173F68">
        <w:rPr>
          <w:rStyle w:val="FootnoteReference"/>
        </w:rPr>
        <w:footnoteRef/>
      </w:r>
      <w:r w:rsidRPr="00173F68">
        <w:t xml:space="preserve"> </w:t>
      </w:r>
      <w:r w:rsidRPr="00173F68" w:rsidR="00B00E95">
        <w:rPr>
          <w:i/>
          <w:iCs/>
        </w:rPr>
        <w:t>See</w:t>
      </w:r>
      <w:r w:rsidRPr="00173F68" w:rsidR="00B00E95">
        <w:t xml:space="preserve"> </w:t>
      </w:r>
      <w:r w:rsidRPr="00173F68" w:rsidR="00E27647">
        <w:t xml:space="preserve">Reuters, </w:t>
      </w:r>
      <w:r w:rsidRPr="00173F68" w:rsidR="00B00E95">
        <w:rPr>
          <w:i/>
          <w:iCs/>
        </w:rPr>
        <w:t>China’s Dahua Technology to Exist Projects in Xinjiang</w:t>
      </w:r>
      <w:r w:rsidRPr="00173F68" w:rsidR="00B00E95">
        <w:t xml:space="preserve">, </w:t>
      </w:r>
      <w:r w:rsidRPr="00173F68" w:rsidR="00E27647">
        <w:t xml:space="preserve">(Dec. 23, 2024) </w:t>
      </w:r>
      <w:hyperlink r:id="rId2" w:history="1">
        <w:r w:rsidRPr="00173F68" w:rsidR="00AC67CD">
          <w:rPr>
            <w:rStyle w:val="Hyperlink"/>
          </w:rPr>
          <w:t>https://www.reuters.com/technology/chinas-dahua-technology-exit-projects-xinjiang-2024-12-23/</w:t>
        </w:r>
      </w:hyperlink>
      <w:r w:rsidRPr="00173F68" w:rsidR="009A7059">
        <w:t xml:space="preserve"> (</w:t>
      </w:r>
      <w:r w:rsidRPr="00173F68" w:rsidR="00BD5DC5">
        <w:t>l</w:t>
      </w:r>
      <w:r w:rsidRPr="00173F68" w:rsidR="009A7059">
        <w:t xml:space="preserve">ast </w:t>
      </w:r>
      <w:r w:rsidRPr="00173F68" w:rsidR="00BD5DC5">
        <w:t>v</w:t>
      </w:r>
      <w:r w:rsidRPr="00173F68" w:rsidR="009A7059">
        <w:t xml:space="preserve">isited </w:t>
      </w:r>
      <w:r w:rsidR="006719AB">
        <w:t>Feb</w:t>
      </w:r>
      <w:r w:rsidR="005B434C">
        <w:t xml:space="preserve">. </w:t>
      </w:r>
      <w:r w:rsidR="0004182D">
        <w:t>2</w:t>
      </w:r>
      <w:r w:rsidRPr="00173F68" w:rsidR="00BF6C46">
        <w:t>, 202</w:t>
      </w:r>
      <w:r w:rsidR="0004182D">
        <w:t>6</w:t>
      </w:r>
      <w:r w:rsidRPr="00173F68" w:rsidR="009A7059">
        <w:t xml:space="preserve">); Dahua Security, </w:t>
      </w:r>
      <w:r w:rsidRPr="00173F68" w:rsidR="009A7059">
        <w:rPr>
          <w:i/>
          <w:iCs/>
        </w:rPr>
        <w:t>Contact Us, Headquarters</w:t>
      </w:r>
      <w:r w:rsidRPr="00173F68" w:rsidR="009A7059">
        <w:t xml:space="preserve">, </w:t>
      </w:r>
      <w:hyperlink r:id="rId3" w:history="1">
        <w:r w:rsidRPr="00173F68" w:rsidR="009A7059">
          <w:rPr>
            <w:rStyle w:val="Hyperlink"/>
          </w:rPr>
          <w:t>https://www.dahuasecurity.com/aboutUs/contactUs</w:t>
        </w:r>
      </w:hyperlink>
      <w:r w:rsidRPr="00173F68" w:rsidR="009A7059">
        <w:t xml:space="preserve"> (</w:t>
      </w:r>
      <w:r w:rsidRPr="00173F68" w:rsidR="00BD5DC5">
        <w:t>l</w:t>
      </w:r>
      <w:r w:rsidRPr="00173F68" w:rsidR="009A7059">
        <w:t xml:space="preserve">ast </w:t>
      </w:r>
      <w:r w:rsidRPr="00173F68" w:rsidR="00BD5DC5">
        <w:t>v</w:t>
      </w:r>
      <w:r w:rsidRPr="00173F68" w:rsidR="009A7059">
        <w:t>isited</w:t>
      </w:r>
      <w:r w:rsidR="00E85545">
        <w:t xml:space="preserve"> </w:t>
      </w:r>
      <w:r w:rsidR="006719AB">
        <w:t>Feb</w:t>
      </w:r>
      <w:r w:rsidR="00B51305">
        <w:t xml:space="preserve">. </w:t>
      </w:r>
      <w:r w:rsidR="0004182D">
        <w:t>2</w:t>
      </w:r>
      <w:r w:rsidR="00E85545">
        <w:t>,</w:t>
      </w:r>
      <w:r w:rsidRPr="00173F68" w:rsidR="009A7059">
        <w:t xml:space="preserve"> 202</w:t>
      </w:r>
      <w:r w:rsidR="0004182D">
        <w:t>6</w:t>
      </w:r>
      <w:r w:rsidRPr="00173F68" w:rsidR="009A7059">
        <w:t>)</w:t>
      </w:r>
      <w:r w:rsidRPr="00173F68" w:rsidR="00EE617B">
        <w:t>.</w:t>
      </w:r>
    </w:p>
  </w:footnote>
  <w:footnote w:id="22">
    <w:p w:rsidR="00C606F4" w:rsidP="003530BC" w14:paraId="24D5E31D" w14:textId="07277204">
      <w:pPr>
        <w:pStyle w:val="FootnoteText"/>
      </w:pPr>
      <w:r>
        <w:rPr>
          <w:rStyle w:val="FootnoteReference"/>
        </w:rPr>
        <w:footnoteRef/>
      </w:r>
      <w:r>
        <w:t xml:space="preserve"> </w:t>
      </w:r>
      <w:r w:rsidRPr="008A2B9E" w:rsidR="008A2B9E">
        <w:rPr>
          <w:i/>
          <w:iCs/>
        </w:rPr>
        <w:t xml:space="preserve">See </w:t>
      </w:r>
      <w:r w:rsidRPr="00591B7E" w:rsidR="008A2B9E">
        <w:rPr>
          <w:i/>
          <w:iCs/>
        </w:rPr>
        <w:t>supra</w:t>
      </w:r>
      <w:r w:rsidR="008A2B9E">
        <w:t xml:space="preserve"> n.10.</w:t>
      </w:r>
      <w:r>
        <w:t xml:space="preserve"> </w:t>
      </w:r>
    </w:p>
  </w:footnote>
  <w:footnote w:id="23">
    <w:p w:rsidR="00061C29" w:rsidRPr="00173F68" w:rsidP="003530BC" w14:paraId="3F9212B3" w14:textId="6B8178C0">
      <w:pPr>
        <w:pStyle w:val="FootnoteText"/>
        <w:rPr>
          <w:i/>
          <w:iCs/>
        </w:rPr>
      </w:pPr>
      <w:r w:rsidRPr="00173F68">
        <w:rPr>
          <w:rStyle w:val="FootnoteReference"/>
        </w:rPr>
        <w:footnoteRef/>
      </w:r>
      <w:r w:rsidRPr="00173F68">
        <w:t xml:space="preserve"> </w:t>
      </w:r>
      <w:r w:rsidRPr="00173F68" w:rsidR="004D4579">
        <w:t xml:space="preserve">Letter from Andrew D. Lipman, Counsel to </w:t>
      </w:r>
      <w:r w:rsidRPr="00173F68" w:rsidR="00A17B48">
        <w:t>Zhejian</w:t>
      </w:r>
      <w:r w:rsidRPr="00173F68" w:rsidR="003155B0">
        <w:t xml:space="preserve">g </w:t>
      </w:r>
      <w:r w:rsidRPr="00173F68" w:rsidR="004D4579">
        <w:t xml:space="preserve">Dahua Technology </w:t>
      </w:r>
      <w:r w:rsidRPr="00173F68" w:rsidR="003155B0">
        <w:t>Co., Ltd</w:t>
      </w:r>
      <w:r w:rsidRPr="00173F68" w:rsidR="004D4579">
        <w:t>., Morgan, Lewis &amp; Bockius LLP, to Marlene H. Dortch, Secretary, FCC (Apr</w:t>
      </w:r>
      <w:r w:rsidRPr="00173F68" w:rsidR="005F12ED">
        <w:t>.</w:t>
      </w:r>
      <w:r w:rsidRPr="00173F68" w:rsidR="004D4579">
        <w:t xml:space="preserve"> 9, 2024) (April 9, </w:t>
      </w:r>
      <w:r w:rsidRPr="00173F68" w:rsidR="004D4579">
        <w:t>2024</w:t>
      </w:r>
      <w:r w:rsidRPr="00173F68" w:rsidR="004D4579">
        <w:t xml:space="preserve"> </w:t>
      </w:r>
      <w:r w:rsidRPr="00173F68" w:rsidR="003E6D07">
        <w:t>Notice of Change in Affiliates</w:t>
      </w:r>
      <w:r w:rsidRPr="00173F68" w:rsidR="004D4579">
        <w:t>)</w:t>
      </w:r>
      <w:r w:rsidRPr="00173F68" w:rsidR="00D772A3">
        <w:t>.</w:t>
      </w:r>
    </w:p>
  </w:footnote>
  <w:footnote w:id="24">
    <w:p w:rsidR="009A5123" w:rsidRPr="00173F68" w:rsidP="003530BC" w14:paraId="1DB88EF8" w14:textId="0535965D">
      <w:pPr>
        <w:pStyle w:val="FootnoteText"/>
      </w:pPr>
      <w:r w:rsidRPr="00173F68">
        <w:rPr>
          <w:rStyle w:val="FootnoteReference"/>
        </w:rPr>
        <w:footnoteRef/>
      </w:r>
      <w:r w:rsidRPr="00173F68">
        <w:t xml:space="preserve"> </w:t>
      </w:r>
      <w:r w:rsidRPr="00173F68">
        <w:rPr>
          <w:i/>
          <w:iCs/>
        </w:rPr>
        <w:t>See</w:t>
      </w:r>
      <w:r w:rsidRPr="00173F68">
        <w:t xml:space="preserve"> April 9, </w:t>
      </w:r>
      <w:r w:rsidRPr="00173F68">
        <w:t>2024</w:t>
      </w:r>
      <w:r w:rsidRPr="00173F68">
        <w:t xml:space="preserve"> Notice of Change in Affiliates.</w:t>
      </w:r>
    </w:p>
  </w:footnote>
  <w:footnote w:id="25">
    <w:p w:rsidR="005F4084" w:rsidRPr="00173F68" w:rsidP="003530BC" w14:paraId="28B84CBA" w14:textId="7F825D86">
      <w:pPr>
        <w:pStyle w:val="FootnoteText"/>
      </w:pPr>
      <w:r w:rsidRPr="00173F68">
        <w:rPr>
          <w:rStyle w:val="FootnoteReference"/>
        </w:rPr>
        <w:footnoteRef/>
      </w:r>
      <w:r w:rsidRPr="00173F68">
        <w:rPr>
          <w:i/>
          <w:iCs/>
        </w:rPr>
        <w:t xml:space="preserve"> </w:t>
      </w:r>
      <w:r w:rsidRPr="00173F68" w:rsidR="009A5123">
        <w:rPr>
          <w:i/>
          <w:iCs/>
        </w:rPr>
        <w:t xml:space="preserve">See </w:t>
      </w:r>
      <w:r w:rsidRPr="00D15FA1" w:rsidR="00986DB3">
        <w:rPr>
          <w:i/>
          <w:iCs/>
        </w:rPr>
        <w:t>id</w:t>
      </w:r>
      <w:r w:rsidR="00986DB3">
        <w:t>.</w:t>
      </w:r>
      <w:r w:rsidRPr="00173F68" w:rsidR="008A52C0">
        <w:t>; 47 CFR § 2.903(</w:t>
      </w:r>
      <w:r w:rsidR="00451FE2">
        <w:t>d</w:t>
      </w:r>
      <w:r w:rsidRPr="00173F68" w:rsidR="008A52C0">
        <w:t>)(1).</w:t>
      </w:r>
    </w:p>
  </w:footnote>
  <w:footnote w:id="26">
    <w:p w:rsidR="00942B70" w:rsidRPr="00173F68" w:rsidP="003530BC" w14:paraId="34841681" w14:textId="04BB99FC">
      <w:pPr>
        <w:pStyle w:val="FootnoteText"/>
      </w:pPr>
      <w:r w:rsidRPr="00173F68">
        <w:rPr>
          <w:rStyle w:val="FootnoteReference"/>
        </w:rPr>
        <w:footnoteRef/>
      </w:r>
      <w:r w:rsidRPr="00173F68">
        <w:t xml:space="preserve"> </w:t>
      </w:r>
      <w:r w:rsidRPr="00173F68">
        <w:rPr>
          <w:i/>
          <w:iCs/>
        </w:rPr>
        <w:t>Carr Announces Sweeping New Investigations into CCP-Aligned Entities</w:t>
      </w:r>
      <w:r w:rsidRPr="00173F68">
        <w:t xml:space="preserve">, </w:t>
      </w:r>
      <w:r w:rsidR="00E72C58">
        <w:t>News Release</w:t>
      </w:r>
      <w:r w:rsidRPr="00173F68">
        <w:t xml:space="preserve"> (Mar. 21, 2025) </w:t>
      </w:r>
      <w:hyperlink r:id="rId4" w:history="1">
        <w:r w:rsidRPr="00173F68" w:rsidR="00751B9D">
          <w:rPr>
            <w:rStyle w:val="Hyperlink"/>
          </w:rPr>
          <w:t>https://docs.fcc.gov/public/attachments/DOC-410318A1.pdf</w:t>
        </w:r>
      </w:hyperlink>
      <w:r w:rsidRPr="00173F68" w:rsidR="0035461E">
        <w:t xml:space="preserve"> (last visited </w:t>
      </w:r>
      <w:r w:rsidR="006719AB">
        <w:t>Feb</w:t>
      </w:r>
      <w:r w:rsidRPr="00173F68" w:rsidR="0035461E">
        <w:t xml:space="preserve">. </w:t>
      </w:r>
      <w:r w:rsidR="001815B7">
        <w:t>2</w:t>
      </w:r>
      <w:r w:rsidRPr="00173F68" w:rsidR="0035461E">
        <w:t>, 202</w:t>
      </w:r>
      <w:r w:rsidR="001815B7">
        <w:t>6</w:t>
      </w:r>
      <w:r w:rsidRPr="00173F68" w:rsidR="0035461E">
        <w:t>)</w:t>
      </w:r>
      <w:r w:rsidRPr="00173F68" w:rsidR="00E60B81">
        <w:t>.</w:t>
      </w:r>
    </w:p>
  </w:footnote>
  <w:footnote w:id="27">
    <w:p w:rsidR="00BE321F" w:rsidRPr="00173F68" w:rsidP="003530BC" w14:paraId="69AF24D5" w14:textId="77777777">
      <w:pPr>
        <w:pStyle w:val="FootnoteText"/>
      </w:pPr>
      <w:r w:rsidRPr="00173F68">
        <w:rPr>
          <w:rStyle w:val="FootnoteReference"/>
        </w:rPr>
        <w:footnoteRef/>
      </w:r>
      <w:r w:rsidRPr="00173F68">
        <w:t xml:space="preserve"> Letter of Inquiry from Spectrum Enforcement Division, FCC Enforcement Bureau to Dahua Technology Company (Feb. 26, 2025) (on file in EB-SED-25-00038004) (Dahua LOI).</w:t>
      </w:r>
    </w:p>
  </w:footnote>
  <w:footnote w:id="28">
    <w:p w:rsidR="00616A91" w:rsidRPr="00173F68" w:rsidP="003530BC" w14:paraId="3D4BD97B" w14:textId="2F81CE9C">
      <w:pPr>
        <w:pStyle w:val="FootnoteText"/>
      </w:pPr>
      <w:r w:rsidRPr="00173F68">
        <w:rPr>
          <w:rStyle w:val="FootnoteReference"/>
        </w:rPr>
        <w:footnoteRef/>
      </w:r>
      <w:r w:rsidRPr="00173F68">
        <w:t xml:space="preserve"> </w:t>
      </w:r>
      <w:r w:rsidRPr="00173F68" w:rsidR="00AA0180">
        <w:rPr>
          <w:i/>
          <w:iCs/>
        </w:rPr>
        <w:t xml:space="preserve">See </w:t>
      </w:r>
      <w:r w:rsidRPr="00593A12" w:rsidR="00AA0180">
        <w:t>First Dahua LOI Response</w:t>
      </w:r>
      <w:r w:rsidRPr="00173F68" w:rsidR="00AA0180">
        <w:t>.</w:t>
      </w:r>
    </w:p>
  </w:footnote>
  <w:footnote w:id="29">
    <w:p w:rsidR="00942B70" w:rsidRPr="00173F68" w:rsidP="003530BC" w14:paraId="4F2BE61F" w14:textId="7622837A">
      <w:pPr>
        <w:pStyle w:val="FootnoteText"/>
      </w:pPr>
      <w:r w:rsidRPr="00173F68">
        <w:rPr>
          <w:rStyle w:val="FootnoteReference"/>
        </w:rPr>
        <w:footnoteRef/>
      </w:r>
      <w:r w:rsidRPr="00173F68">
        <w:t xml:space="preserve"> </w:t>
      </w:r>
      <w:r w:rsidRPr="00173F68" w:rsidR="00C44C3C">
        <w:rPr>
          <w:i/>
          <w:iCs/>
        </w:rPr>
        <w:t>See</w:t>
      </w:r>
      <w:r w:rsidRPr="00173F68" w:rsidR="00C44C3C">
        <w:t xml:space="preserve"> </w:t>
      </w:r>
      <w:r w:rsidRPr="00173F68" w:rsidR="00BD4FAC">
        <w:t>Response to Letter of Inquiry from Dahua Technology Company to Spectrum Enforcement Division, FCC Enforcement Bureau (May 16, 2025) (on file in EB-SED-25-00038004) (</w:t>
      </w:r>
      <w:r w:rsidRPr="00173F68" w:rsidR="009D6A32">
        <w:t xml:space="preserve">Fourth </w:t>
      </w:r>
      <w:r w:rsidRPr="00173F68" w:rsidR="00BD4FAC">
        <w:t>Dahua LOI Response)</w:t>
      </w:r>
      <w:r w:rsidRPr="00173F68" w:rsidR="00751B9D">
        <w:t xml:space="preserve">; </w:t>
      </w:r>
      <w:r w:rsidRPr="00173F68" w:rsidR="00751B9D">
        <w:rPr>
          <w:i/>
          <w:iCs/>
        </w:rPr>
        <w:t>see also</w:t>
      </w:r>
      <w:r w:rsidRPr="00173F68" w:rsidR="00751B9D">
        <w:t xml:space="preserve"> Response to Letter of Inquiry from Dahua Technology Company to Spectrum Enforcement Division, FCC Enforcement Bureau (Apr. 2, 2025) (on file in EB-SED-25-00038004) (</w:t>
      </w:r>
      <w:r w:rsidRPr="00173F68" w:rsidR="005B41EB">
        <w:t>Second</w:t>
      </w:r>
      <w:r w:rsidRPr="00173F68" w:rsidR="00751B9D">
        <w:t xml:space="preserve"> Dahua LOI Response); Response to Letter of Inquiry from Dahua Technology Company to Spectrum Enforcement Division, FCC Enforcement Bureau (Apr. 16, 2025) (on file in EB-SED-25-00038004) (Third Dahua LOI Response).</w:t>
      </w:r>
      <w:r w:rsidRPr="00173F68" w:rsidR="00BD4FAC">
        <w:t xml:space="preserve"> </w:t>
      </w:r>
    </w:p>
  </w:footnote>
  <w:footnote w:id="30">
    <w:p w:rsidR="00EE3009" w:rsidRPr="00173F68" w:rsidP="003530BC" w14:paraId="6E38A796" w14:textId="2C0F0BB9">
      <w:pPr>
        <w:pStyle w:val="FootnoteText"/>
      </w:pPr>
      <w:r w:rsidRPr="00173F68">
        <w:rPr>
          <w:rStyle w:val="FootnoteReference"/>
        </w:rPr>
        <w:footnoteRef/>
      </w:r>
      <w:r w:rsidRPr="00173F68">
        <w:t xml:space="preserve"> </w:t>
      </w:r>
      <w:r w:rsidRPr="00173F68">
        <w:rPr>
          <w:i/>
          <w:iCs/>
        </w:rPr>
        <w:t>See</w:t>
      </w:r>
      <w:r w:rsidRPr="00173F68">
        <w:t xml:space="preserve"> 47 CFR </w:t>
      </w:r>
      <w:r w:rsidRPr="00173F68">
        <w:rPr>
          <w:color w:val="000000" w:themeColor="text1"/>
        </w:rPr>
        <w:t>§ 2.903(</w:t>
      </w:r>
      <w:r w:rsidR="00451FE2">
        <w:rPr>
          <w:color w:val="000000" w:themeColor="text1"/>
        </w:rPr>
        <w:t>d</w:t>
      </w:r>
      <w:r w:rsidRPr="00173F68">
        <w:rPr>
          <w:color w:val="000000" w:themeColor="text1"/>
        </w:rPr>
        <w:t>).</w:t>
      </w:r>
    </w:p>
  </w:footnote>
  <w:footnote w:id="31">
    <w:p w:rsidR="004248E9" w:rsidRPr="00173F68" w:rsidP="003530BC" w14:paraId="0CE66125" w14:textId="6E5CBF38">
      <w:pPr>
        <w:pStyle w:val="FootnoteText"/>
      </w:pPr>
      <w:r w:rsidRPr="00173F68">
        <w:rPr>
          <w:rStyle w:val="FootnoteReference"/>
        </w:rPr>
        <w:footnoteRef/>
      </w:r>
      <w:r w:rsidRPr="00173F68">
        <w:t xml:space="preserve"> </w:t>
      </w:r>
      <w:r w:rsidRPr="00173F68" w:rsidR="00FF136B">
        <w:rPr>
          <w:i/>
          <w:iCs/>
        </w:rPr>
        <w:t xml:space="preserve">See </w:t>
      </w:r>
      <w:r w:rsidRPr="00173F68" w:rsidR="00FF136B">
        <w:t xml:space="preserve">First Dahua LOI Response; Fourth Dahua LOI Response; </w:t>
      </w:r>
      <w:r w:rsidRPr="00173F68" w:rsidR="00FF136B">
        <w:rPr>
          <w:rStyle w:val="cf01"/>
          <w:rFonts w:ascii="Times New Roman" w:hAnsi="Times New Roman" w:cs="Times New Roman"/>
          <w:sz w:val="20"/>
          <w:szCs w:val="20"/>
        </w:rPr>
        <w:t xml:space="preserve">47 CFR </w:t>
      </w:r>
      <w:r w:rsidRPr="00173F68" w:rsidR="00AD1C15">
        <w:rPr>
          <w:color w:val="000000" w:themeColor="text1"/>
        </w:rPr>
        <w:t xml:space="preserve">§ </w:t>
      </w:r>
      <w:r w:rsidRPr="00173F68" w:rsidR="00FF136B">
        <w:rPr>
          <w:rStyle w:val="cf01"/>
          <w:rFonts w:ascii="Times New Roman" w:hAnsi="Times New Roman" w:cs="Times New Roman"/>
          <w:sz w:val="20"/>
          <w:szCs w:val="20"/>
        </w:rPr>
        <w:t>0</w:t>
      </w:r>
      <w:r w:rsidRPr="00173F68" w:rsidR="00AD1C15">
        <w:rPr>
          <w:rStyle w:val="cf01"/>
          <w:rFonts w:ascii="Times New Roman" w:hAnsi="Times New Roman" w:cs="Times New Roman"/>
          <w:sz w:val="20"/>
          <w:szCs w:val="20"/>
        </w:rPr>
        <w:t>.</w:t>
      </w:r>
      <w:r w:rsidRPr="00173F68" w:rsidR="00FF136B">
        <w:rPr>
          <w:rStyle w:val="cf01"/>
          <w:rFonts w:ascii="Times New Roman" w:hAnsi="Times New Roman" w:cs="Times New Roman"/>
          <w:sz w:val="20"/>
          <w:szCs w:val="20"/>
        </w:rPr>
        <w:t>459</w:t>
      </w:r>
      <w:r w:rsidRPr="00173F68" w:rsidR="00DF2A43">
        <w:rPr>
          <w:rStyle w:val="cf01"/>
          <w:rFonts w:ascii="Times New Roman" w:hAnsi="Times New Roman" w:cs="Times New Roman"/>
          <w:sz w:val="20"/>
          <w:szCs w:val="20"/>
        </w:rPr>
        <w:t xml:space="preserve"> (</w:t>
      </w:r>
      <w:r w:rsidR="0014185C">
        <w:t>r</w:t>
      </w:r>
      <w:r w:rsidRPr="00173F68" w:rsidR="0014185C">
        <w:t>equest</w:t>
      </w:r>
      <w:r w:rsidR="0014185C">
        <w:t>ing</w:t>
      </w:r>
      <w:r w:rsidRPr="00173F68" w:rsidR="0014185C">
        <w:t xml:space="preserve"> </w:t>
      </w:r>
      <w:r w:rsidRPr="00173F68" w:rsidR="00DF2A43">
        <w:t>that materials or information submitted to the Commission be withheld from public inspection)</w:t>
      </w:r>
      <w:r w:rsidRPr="00173F68" w:rsidR="008303E6">
        <w:rPr>
          <w:rStyle w:val="cf01"/>
          <w:rFonts w:ascii="Times New Roman" w:hAnsi="Times New Roman" w:cs="Times New Roman"/>
          <w:sz w:val="20"/>
          <w:szCs w:val="20"/>
        </w:rPr>
        <w:t xml:space="preserve">; </w:t>
      </w:r>
      <w:r w:rsidRPr="00173F68" w:rsidR="008303E6">
        <w:rPr>
          <w:rStyle w:val="cf01"/>
          <w:rFonts w:ascii="Times New Roman" w:hAnsi="Times New Roman" w:cs="Times New Roman"/>
          <w:i/>
          <w:iCs/>
          <w:sz w:val="20"/>
          <w:szCs w:val="20"/>
        </w:rPr>
        <w:t xml:space="preserve">supra </w:t>
      </w:r>
      <w:r w:rsidRPr="00173F68" w:rsidR="008303E6">
        <w:rPr>
          <w:rStyle w:val="cf01"/>
          <w:rFonts w:ascii="Times New Roman" w:hAnsi="Times New Roman" w:cs="Times New Roman"/>
          <w:sz w:val="20"/>
          <w:szCs w:val="20"/>
        </w:rPr>
        <w:t>n.1</w:t>
      </w:r>
      <w:r w:rsidR="005C2E73">
        <w:rPr>
          <w:rStyle w:val="cf01"/>
          <w:rFonts w:ascii="Times New Roman" w:hAnsi="Times New Roman" w:cs="Times New Roman"/>
          <w:sz w:val="20"/>
          <w:szCs w:val="20"/>
        </w:rPr>
        <w:t>6</w:t>
      </w:r>
      <w:r w:rsidRPr="00173F68" w:rsidR="008303E6">
        <w:rPr>
          <w:rStyle w:val="cf01"/>
          <w:rFonts w:ascii="Times New Roman" w:hAnsi="Times New Roman" w:cs="Times New Roman"/>
          <w:sz w:val="20"/>
          <w:szCs w:val="20"/>
        </w:rPr>
        <w:t xml:space="preserve"> (</w:t>
      </w:r>
      <w:r w:rsidRPr="00173F68" w:rsidR="002A6F1C">
        <w:rPr>
          <w:rStyle w:val="cf01"/>
          <w:rFonts w:ascii="Times New Roman" w:hAnsi="Times New Roman" w:cs="Times New Roman"/>
          <w:sz w:val="20"/>
          <w:szCs w:val="20"/>
        </w:rPr>
        <w:t>re</w:t>
      </w:r>
      <w:r w:rsidRPr="00173F68" w:rsidR="002A6F1C">
        <w:t xml:space="preserve">ferencing the Commission’s </w:t>
      </w:r>
      <w:r w:rsidRPr="00173F68" w:rsidR="002A6F1C">
        <w:rPr>
          <w:i/>
          <w:iCs/>
        </w:rPr>
        <w:t xml:space="preserve">2022 </w:t>
      </w:r>
      <w:r w:rsidR="00267907">
        <w:rPr>
          <w:i/>
          <w:iCs/>
        </w:rPr>
        <w:t>Equipment Authorization</w:t>
      </w:r>
      <w:r w:rsidR="005A25A7">
        <w:rPr>
          <w:i/>
          <w:iCs/>
        </w:rPr>
        <w:t xml:space="preserve"> Security</w:t>
      </w:r>
      <w:r w:rsidR="00DC6D37">
        <w:rPr>
          <w:i/>
          <w:iCs/>
        </w:rPr>
        <w:t xml:space="preserve"> </w:t>
      </w:r>
      <w:r w:rsidRPr="00173F68" w:rsidR="002A6F1C">
        <w:rPr>
          <w:i/>
          <w:iCs/>
        </w:rPr>
        <w:t>Report and Order</w:t>
      </w:r>
      <w:r w:rsidRPr="00173F68" w:rsidR="002A6F1C">
        <w:t xml:space="preserve">, which </w:t>
      </w:r>
      <w:r w:rsidRPr="00173F68" w:rsidR="00DB188C">
        <w:t xml:space="preserve">emphasized the </w:t>
      </w:r>
      <w:r w:rsidRPr="00173F68" w:rsidR="002A6F1C">
        <w:t>critical importance of publicly disclosing this information</w:t>
      </w:r>
      <w:r w:rsidRPr="00173F68" w:rsidR="006B1BFE">
        <w:t xml:space="preserve">). </w:t>
      </w:r>
    </w:p>
  </w:footnote>
  <w:footnote w:id="32">
    <w:p w:rsidR="000D3D44" w:rsidP="003530BC" w14:paraId="49994DCD" w14:textId="5841945E">
      <w:pPr>
        <w:pStyle w:val="FootnoteText"/>
      </w:pPr>
      <w:r>
        <w:rPr>
          <w:rStyle w:val="FootnoteReference"/>
        </w:rPr>
        <w:footnoteRef/>
      </w:r>
      <w:r>
        <w:t xml:space="preserve"> Letter from </w:t>
      </w:r>
      <w:r w:rsidRPr="00173F68">
        <w:t>Zhejiang Dahua Technology Co., Ltd.</w:t>
      </w:r>
      <w:r>
        <w:t xml:space="preserve"> to FCC (Sept. 22, 2025) (September 22, </w:t>
      </w:r>
      <w:r>
        <w:t>2025</w:t>
      </w:r>
      <w:r>
        <w:t xml:space="preserve"> Notice of Subsidiaries and Affiliates);</w:t>
      </w:r>
      <w:r w:rsidRPr="00320B47">
        <w:t xml:space="preserve"> </w:t>
      </w:r>
      <w:r w:rsidRPr="00173F68">
        <w:t xml:space="preserve">47 CFR </w:t>
      </w:r>
      <w:r w:rsidRPr="00173F68">
        <w:rPr>
          <w:color w:val="000000" w:themeColor="text1"/>
        </w:rPr>
        <w:t>§ 2.903(</w:t>
      </w:r>
      <w:r w:rsidR="00451FE2">
        <w:rPr>
          <w:color w:val="000000" w:themeColor="text1"/>
        </w:rPr>
        <w:t>d</w:t>
      </w:r>
      <w:r w:rsidRPr="00173F68">
        <w:rPr>
          <w:color w:val="000000" w:themeColor="text1"/>
        </w:rPr>
        <w:t>).</w:t>
      </w:r>
    </w:p>
  </w:footnote>
  <w:footnote w:id="33">
    <w:p w:rsidR="00022AA8" w:rsidRPr="00173F68" w:rsidP="003530BC" w14:paraId="29839C45" w14:textId="66E5C405">
      <w:pPr>
        <w:pStyle w:val="FootnoteText"/>
      </w:pPr>
      <w:r w:rsidRPr="00173F68">
        <w:rPr>
          <w:rStyle w:val="FootnoteReference"/>
        </w:rPr>
        <w:footnoteRef/>
      </w:r>
      <w:r w:rsidRPr="00173F68">
        <w:rPr>
          <w:i/>
          <w:iCs/>
        </w:rPr>
        <w:t xml:space="preserve"> </w:t>
      </w:r>
      <w:r w:rsidRPr="00173F68" w:rsidR="0051457D">
        <w:rPr>
          <w:i/>
          <w:iCs/>
        </w:rPr>
        <w:t>See</w:t>
      </w:r>
      <w:r w:rsidRPr="00173F68" w:rsidR="0051457D">
        <w:t xml:space="preserve"> 47 CFR </w:t>
      </w:r>
      <w:r w:rsidRPr="00173F68" w:rsidR="0051457D">
        <w:rPr>
          <w:color w:val="000000" w:themeColor="text1"/>
        </w:rPr>
        <w:t>§ 2.903(</w:t>
      </w:r>
      <w:r w:rsidR="00451FE2">
        <w:rPr>
          <w:color w:val="000000" w:themeColor="text1"/>
        </w:rPr>
        <w:t>d</w:t>
      </w:r>
      <w:r w:rsidRPr="00173F68" w:rsidR="0051457D">
        <w:rPr>
          <w:color w:val="000000" w:themeColor="text1"/>
        </w:rPr>
        <w:t>).</w:t>
      </w:r>
    </w:p>
  </w:footnote>
  <w:footnote w:id="34">
    <w:p w:rsidR="009A0E01" w:rsidRPr="00173F68" w:rsidP="003530BC" w14:paraId="767985E1" w14:textId="179DE6E9">
      <w:pPr>
        <w:pStyle w:val="FootnoteText"/>
      </w:pPr>
      <w:r w:rsidRPr="00173F68">
        <w:rPr>
          <w:rStyle w:val="FootnoteReference"/>
        </w:rPr>
        <w:footnoteRef/>
      </w:r>
      <w:r w:rsidRPr="00173F68">
        <w:t xml:space="preserve"> </w:t>
      </w:r>
      <w:r w:rsidRPr="00173F68">
        <w:rPr>
          <w:i/>
          <w:iCs/>
        </w:rPr>
        <w:t>Se</w:t>
      </w:r>
      <w:r w:rsidR="0051457D">
        <w:rPr>
          <w:i/>
          <w:iCs/>
        </w:rPr>
        <w:t xml:space="preserve">e </w:t>
      </w:r>
      <w:r w:rsidR="00694100">
        <w:t xml:space="preserve">September 22, </w:t>
      </w:r>
      <w:r w:rsidR="00694100">
        <w:t>2025</w:t>
      </w:r>
      <w:r w:rsidR="00694100">
        <w:t xml:space="preserve"> Notice of Subsidiaries and Affiliates;</w:t>
      </w:r>
      <w:r w:rsidRPr="00173F68" w:rsidR="00694100">
        <w:t xml:space="preserve"> </w:t>
      </w:r>
      <w:r w:rsidRPr="00173F68" w:rsidR="0051457D">
        <w:t xml:space="preserve">47 CFR </w:t>
      </w:r>
      <w:r w:rsidRPr="00173F68">
        <w:rPr>
          <w:color w:val="000000" w:themeColor="text1"/>
        </w:rPr>
        <w:t>§ 2.903(</w:t>
      </w:r>
      <w:r w:rsidR="00451FE2">
        <w:rPr>
          <w:color w:val="000000" w:themeColor="text1"/>
        </w:rPr>
        <w:t>d</w:t>
      </w:r>
      <w:r w:rsidRPr="00173F68">
        <w:rPr>
          <w:color w:val="000000" w:themeColor="text1"/>
        </w:rPr>
        <w:t>)(1).</w:t>
      </w:r>
    </w:p>
  </w:footnote>
  <w:footnote w:id="35">
    <w:p w:rsidR="00400B4E" w:rsidRPr="00173F68" w:rsidP="003530BC" w14:paraId="14C1DD4F" w14:textId="1FB02C1F">
      <w:pPr>
        <w:pStyle w:val="FootnoteText"/>
      </w:pPr>
      <w:r w:rsidRPr="00173F68">
        <w:rPr>
          <w:rStyle w:val="FootnoteReference"/>
        </w:rPr>
        <w:footnoteRef/>
      </w:r>
      <w:r w:rsidRPr="00173F68">
        <w:t xml:space="preserve"> </w:t>
      </w:r>
      <w:r w:rsidRPr="00173F68" w:rsidR="000638D3">
        <w:rPr>
          <w:i/>
          <w:iCs/>
        </w:rPr>
        <w:t xml:space="preserve">See </w:t>
      </w:r>
      <w:r w:rsidRPr="00173F68" w:rsidR="00B53AE4">
        <w:rPr>
          <w:i/>
          <w:iCs/>
        </w:rPr>
        <w:t xml:space="preserve">2022 </w:t>
      </w:r>
      <w:r w:rsidR="00AB3051">
        <w:rPr>
          <w:i/>
          <w:iCs/>
        </w:rPr>
        <w:t>Equipment Authorization Security</w:t>
      </w:r>
      <w:r w:rsidRPr="00173F68" w:rsidR="00B53AE4">
        <w:rPr>
          <w:i/>
          <w:iCs/>
        </w:rPr>
        <w:t xml:space="preserve"> </w:t>
      </w:r>
      <w:r w:rsidRPr="00173F68">
        <w:rPr>
          <w:i/>
          <w:iCs/>
        </w:rPr>
        <w:t>Report and Order</w:t>
      </w:r>
      <w:r w:rsidRPr="00173F68">
        <w:t xml:space="preserve"> at </w:t>
      </w:r>
      <w:r w:rsidRPr="00173F68" w:rsidR="00550B57">
        <w:t xml:space="preserve">13566, </w:t>
      </w:r>
      <w:r w:rsidRPr="00173F68">
        <w:t>para. 18</w:t>
      </w:r>
      <w:r w:rsidRPr="00173F68" w:rsidR="00364D72">
        <w:t>5</w:t>
      </w:r>
      <w:r w:rsidRPr="00173F68">
        <w:t>;</w:t>
      </w:r>
      <w:r w:rsidRPr="00173F68" w:rsidR="00550B57">
        <w:t xml:space="preserve"> 47 CFR § 2.903(</w:t>
      </w:r>
      <w:r w:rsidR="00C5058F">
        <w:t>d</w:t>
      </w:r>
      <w:r w:rsidRPr="00173F68" w:rsidR="00550B57">
        <w:t>).</w:t>
      </w:r>
    </w:p>
  </w:footnote>
  <w:footnote w:id="36">
    <w:p w:rsidR="00C414AB" w:rsidRPr="00173F68" w:rsidP="003530BC" w14:paraId="0EA69899" w14:textId="449972EF">
      <w:pPr>
        <w:pStyle w:val="FootnoteText"/>
      </w:pPr>
      <w:r w:rsidRPr="00173F68">
        <w:rPr>
          <w:rStyle w:val="FootnoteReference"/>
        </w:rPr>
        <w:footnoteRef/>
      </w:r>
      <w:r w:rsidRPr="00173F68">
        <w:t xml:space="preserve"> </w:t>
      </w:r>
      <w:r w:rsidRPr="00173F68" w:rsidR="00630FB0">
        <w:t xml:space="preserve">47 CFR </w:t>
      </w:r>
      <w:r w:rsidRPr="00173F68" w:rsidR="00C31E89">
        <w:t>§ 2.903(</w:t>
      </w:r>
      <w:r w:rsidR="00C5058F">
        <w:t>d</w:t>
      </w:r>
      <w:r w:rsidRPr="00173F68" w:rsidR="00C31E89">
        <w:t>)(1)-(3).</w:t>
      </w:r>
      <w:r w:rsidRPr="00173F68" w:rsidR="00BA5C3C">
        <w:t xml:space="preserve">  </w:t>
      </w:r>
    </w:p>
  </w:footnote>
  <w:footnote w:id="37">
    <w:p w:rsidR="002E7F59" w:rsidRPr="00173F68" w:rsidP="003530BC" w14:paraId="0D453279" w14:textId="4DDB1437">
      <w:pPr>
        <w:pStyle w:val="FootnoteText"/>
      </w:pPr>
      <w:r w:rsidRPr="00173F68">
        <w:rPr>
          <w:rStyle w:val="FootnoteReference"/>
        </w:rPr>
        <w:footnoteRef/>
      </w:r>
      <w:r w:rsidRPr="00173F68">
        <w:t xml:space="preserve"> </w:t>
      </w:r>
      <w:r w:rsidRPr="00173F68">
        <w:rPr>
          <w:i/>
          <w:iCs/>
        </w:rPr>
        <w:t>See</w:t>
      </w:r>
      <w:r w:rsidR="00630FB0">
        <w:rPr>
          <w:i/>
          <w:iCs/>
        </w:rPr>
        <w:t xml:space="preserve"> </w:t>
      </w:r>
      <w:r w:rsidRPr="00173F68" w:rsidR="00630FB0">
        <w:rPr>
          <w:i/>
          <w:iCs/>
        </w:rPr>
        <w:t xml:space="preserve">2022 </w:t>
      </w:r>
      <w:r w:rsidRPr="00AB3051" w:rsidR="00AB3051">
        <w:rPr>
          <w:i/>
          <w:iCs/>
        </w:rPr>
        <w:t>Equipment Authorization Security</w:t>
      </w:r>
      <w:r w:rsidRPr="00173F68" w:rsidR="00630FB0">
        <w:rPr>
          <w:i/>
          <w:iCs/>
        </w:rPr>
        <w:t xml:space="preserve"> Report and Order</w:t>
      </w:r>
      <w:r w:rsidRPr="00173F68" w:rsidR="00630FB0">
        <w:t xml:space="preserve"> </w:t>
      </w:r>
      <w:r w:rsidRPr="00173F68">
        <w:t>at 13566</w:t>
      </w:r>
      <w:r w:rsidRPr="00173F68" w:rsidR="00A00AF3">
        <w:t>-67</w:t>
      </w:r>
      <w:r w:rsidRPr="00173F68">
        <w:t>, para. 18</w:t>
      </w:r>
      <w:r w:rsidRPr="00173F68" w:rsidR="00A00AF3">
        <w:t>6</w:t>
      </w:r>
      <w:r w:rsidRPr="00173F68">
        <w:t>; 47 CFR § 2.903(</w:t>
      </w:r>
      <w:r w:rsidR="00C5058F">
        <w:t>d</w:t>
      </w:r>
      <w:r w:rsidRPr="00173F68">
        <w:t>).</w:t>
      </w:r>
    </w:p>
  </w:footnote>
  <w:footnote w:id="38">
    <w:p w:rsidR="005F533E" w:rsidRPr="00173F68" w:rsidP="003530BC" w14:paraId="345DB021" w14:textId="66662BBE">
      <w:pPr>
        <w:pStyle w:val="FootnoteText"/>
        <w:rPr>
          <w:b/>
          <w:i/>
          <w:color w:val="000000" w:themeColor="text1"/>
        </w:rPr>
      </w:pPr>
      <w:r w:rsidRPr="00173F68">
        <w:rPr>
          <w:rStyle w:val="FootnoteReference"/>
          <w:color w:val="000000" w:themeColor="text1"/>
        </w:rPr>
        <w:footnoteRef/>
      </w:r>
      <w:r w:rsidRPr="00173F68">
        <w:rPr>
          <w:color w:val="000000" w:themeColor="text1"/>
        </w:rPr>
        <w:t xml:space="preserve"> 47 U.S.C. § 503(b)</w:t>
      </w:r>
      <w:r w:rsidRPr="00173F68" w:rsidR="00B324CA">
        <w:rPr>
          <w:color w:val="000000" w:themeColor="text1"/>
        </w:rPr>
        <w:t>(1)</w:t>
      </w:r>
      <w:r w:rsidRPr="00173F68" w:rsidR="005F591B">
        <w:rPr>
          <w:color w:val="000000" w:themeColor="text1"/>
        </w:rPr>
        <w:t>(B)</w:t>
      </w:r>
      <w:r w:rsidRPr="00173F68">
        <w:rPr>
          <w:color w:val="000000" w:themeColor="text1"/>
        </w:rPr>
        <w:t xml:space="preserve">.  </w:t>
      </w:r>
    </w:p>
  </w:footnote>
  <w:footnote w:id="39">
    <w:p w:rsidR="005F533E" w:rsidRPr="00173F68" w:rsidP="003530BC" w14:paraId="093AA3B4" w14:textId="6FED91B4">
      <w:pPr>
        <w:pStyle w:val="FootnoteText"/>
        <w:rPr>
          <w:color w:val="000000" w:themeColor="text1"/>
        </w:rPr>
      </w:pPr>
      <w:r w:rsidRPr="00173F68">
        <w:rPr>
          <w:rStyle w:val="FootnoteReference"/>
          <w:color w:val="000000" w:themeColor="text1"/>
        </w:rPr>
        <w:footnoteRef/>
      </w:r>
      <w:r w:rsidRPr="00173F68">
        <w:rPr>
          <w:color w:val="000000" w:themeColor="text1"/>
        </w:rPr>
        <w:t xml:space="preserve"> </w:t>
      </w:r>
      <w:r w:rsidRPr="00173F68">
        <w:rPr>
          <w:i/>
          <w:color w:val="000000" w:themeColor="text1"/>
        </w:rPr>
        <w:t>See</w:t>
      </w:r>
      <w:r w:rsidRPr="00173F68">
        <w:rPr>
          <w:color w:val="000000" w:themeColor="text1"/>
        </w:rPr>
        <w:t xml:space="preserve"> </w:t>
      </w:r>
      <w:r w:rsidRPr="00173F68">
        <w:rPr>
          <w:snapToGrid w:val="0"/>
          <w:color w:val="000000" w:themeColor="text1"/>
        </w:rPr>
        <w:t xml:space="preserve">47 U.S.C. § 503(b)(2)(D); </w:t>
      </w:r>
      <w:r w:rsidRPr="00173F68" w:rsidR="00F656F5">
        <w:rPr>
          <w:snapToGrid w:val="0"/>
          <w:color w:val="000000" w:themeColor="text1"/>
        </w:rPr>
        <w:t>47 CFR § 1.80(b)(10) (setting the current inflation adjusted statutory maximum for</w:t>
      </w:r>
      <w:r w:rsidRPr="00173F68" w:rsidR="005701AA">
        <w:rPr>
          <w:snapToGrid w:val="0"/>
          <w:color w:val="000000" w:themeColor="text1"/>
        </w:rPr>
        <w:t xml:space="preserve"> </w:t>
      </w:r>
      <w:r w:rsidRPr="00173F68" w:rsidR="00F656F5">
        <w:rPr>
          <w:snapToGrid w:val="0"/>
          <w:color w:val="000000" w:themeColor="text1"/>
        </w:rPr>
        <w:t>a violation of 47 U.S.C. § 503 (b)(2)(D) at $18</w:t>
      </w:r>
      <w:r w:rsidRPr="00173F68" w:rsidR="005701AA">
        <w:rPr>
          <w:snapToGrid w:val="0"/>
          <w:color w:val="000000" w:themeColor="text1"/>
        </w:rPr>
        <w:t>8,491</w:t>
      </w:r>
      <w:r w:rsidRPr="00173F68" w:rsidR="00F656F5">
        <w:rPr>
          <w:snapToGrid w:val="0"/>
          <w:color w:val="000000" w:themeColor="text1"/>
        </w:rPr>
        <w:t>)</w:t>
      </w:r>
      <w:r w:rsidRPr="00173F68">
        <w:rPr>
          <w:snapToGrid w:val="0"/>
          <w:color w:val="000000" w:themeColor="text1"/>
        </w:rPr>
        <w:t>. </w:t>
      </w:r>
      <w:bookmarkStart w:id="6" w:name="_Hlk63259283"/>
      <w:r w:rsidRPr="00173F68">
        <w:rPr>
          <w:snapToGrid w:val="0"/>
          <w:color w:val="000000" w:themeColor="text1"/>
        </w:rPr>
        <w:t xml:space="preserve"> </w:t>
      </w:r>
      <w:bookmarkEnd w:id="6"/>
      <w:r w:rsidRPr="00173F68">
        <w:rPr>
          <w:i/>
          <w:iCs/>
        </w:rPr>
        <w:t>See Amendment of Section 1.80(b) of the Commission’s Rules</w:t>
      </w:r>
      <w:r w:rsidRPr="00173F68">
        <w:t xml:space="preserve">, </w:t>
      </w:r>
      <w:r w:rsidRPr="00173F68">
        <w:rPr>
          <w:i/>
          <w:iCs/>
        </w:rPr>
        <w:t>Adjustment of Civil Monetary Penalties to Reflect Inflation</w:t>
      </w:r>
      <w:r w:rsidRPr="00173F68">
        <w:t xml:space="preserve">, Order, </w:t>
      </w:r>
      <w:r w:rsidR="001815B7">
        <w:t>40 FCC Rcd 25</w:t>
      </w:r>
      <w:r w:rsidRPr="00173F68">
        <w:t xml:space="preserve"> (EB 2025).</w:t>
      </w:r>
    </w:p>
  </w:footnote>
  <w:footnote w:id="40">
    <w:p w:rsidR="005F533E" w:rsidRPr="00173F68" w:rsidP="003530BC" w14:paraId="29A6EF55" w14:textId="77777777">
      <w:pPr>
        <w:pStyle w:val="FootnoteText"/>
        <w:rPr>
          <w:color w:val="000000" w:themeColor="text1"/>
          <w:lang w:val="es-ES"/>
        </w:rPr>
      </w:pPr>
      <w:r w:rsidRPr="00173F68">
        <w:rPr>
          <w:rStyle w:val="FootnoteReference"/>
          <w:color w:val="000000" w:themeColor="text1"/>
        </w:rPr>
        <w:footnoteRef/>
      </w:r>
      <w:r w:rsidRPr="00173F68">
        <w:rPr>
          <w:color w:val="000000" w:themeColor="text1"/>
          <w:lang w:val="es-ES"/>
        </w:rPr>
        <w:t xml:space="preserve"> 47 U.S.C. § 503(b)(2)(E).</w:t>
      </w:r>
    </w:p>
  </w:footnote>
  <w:footnote w:id="41">
    <w:p w:rsidR="005F533E" w:rsidRPr="00173F68" w:rsidP="003530BC" w14:paraId="0438598A" w14:textId="77777777">
      <w:pPr>
        <w:pStyle w:val="FootnoteText"/>
        <w:rPr>
          <w:color w:val="000000" w:themeColor="text1"/>
        </w:rPr>
      </w:pPr>
      <w:r w:rsidRPr="00173F68">
        <w:rPr>
          <w:rStyle w:val="FootnoteReference"/>
          <w:color w:val="000000" w:themeColor="text1"/>
        </w:rPr>
        <w:footnoteRef/>
      </w:r>
      <w:r w:rsidRPr="00173F68">
        <w:rPr>
          <w:color w:val="000000" w:themeColor="text1"/>
        </w:rPr>
        <w:t xml:space="preserve"> 47 CFR § 1.80(b)(11), Note 2 to paragraph (b)(11).</w:t>
      </w:r>
    </w:p>
  </w:footnote>
  <w:footnote w:id="42">
    <w:p w:rsidR="005F533E" w:rsidRPr="00173F68" w:rsidP="003530BC" w14:paraId="00CFA574" w14:textId="77777777">
      <w:pPr>
        <w:pStyle w:val="FootnoteText"/>
        <w:rPr>
          <w:color w:val="000000" w:themeColor="text1"/>
        </w:rPr>
      </w:pPr>
      <w:r w:rsidRPr="00173F68">
        <w:rPr>
          <w:rStyle w:val="FootnoteReference"/>
          <w:color w:val="000000" w:themeColor="text1"/>
        </w:rPr>
        <w:footnoteRef/>
      </w:r>
      <w:r w:rsidRPr="00173F68">
        <w:rPr>
          <w:color w:val="000000" w:themeColor="text1"/>
        </w:rPr>
        <w:t xml:space="preserve"> </w:t>
      </w:r>
      <w:r w:rsidRPr="00173F68">
        <w:rPr>
          <w:i/>
          <w:color w:val="000000" w:themeColor="text1"/>
        </w:rPr>
        <w:t>Id</w:t>
      </w:r>
      <w:r w:rsidRPr="00173F68">
        <w:rPr>
          <w:color w:val="000000" w:themeColor="text1"/>
        </w:rPr>
        <w:t>.</w:t>
      </w:r>
    </w:p>
  </w:footnote>
  <w:footnote w:id="43">
    <w:p w:rsidR="00B4291D" w:rsidRPr="00173F68" w:rsidP="003530BC" w14:paraId="124BD680" w14:textId="6D8C5FC7">
      <w:pPr>
        <w:pStyle w:val="FootnoteText"/>
      </w:pPr>
      <w:r w:rsidRPr="00173F68">
        <w:rPr>
          <w:rStyle w:val="FootnoteReference"/>
        </w:rPr>
        <w:footnoteRef/>
      </w:r>
      <w:r w:rsidRPr="00173F68">
        <w:t xml:space="preserve"> </w:t>
      </w:r>
      <w:r w:rsidRPr="00173F68" w:rsidR="0051457D">
        <w:rPr>
          <w:color w:val="000000" w:themeColor="text1"/>
        </w:rPr>
        <w:t xml:space="preserve">47 CFR </w:t>
      </w:r>
      <w:r w:rsidRPr="00173F68" w:rsidR="00624CA4">
        <w:rPr>
          <w:color w:val="000000" w:themeColor="text1"/>
        </w:rPr>
        <w:t>§ 1.80(b)(11), Table 1 to paragraph (b)(11).</w:t>
      </w:r>
      <w:r w:rsidRPr="00173F68" w:rsidR="00624CA4">
        <w:t xml:space="preserve"> </w:t>
      </w:r>
    </w:p>
  </w:footnote>
  <w:footnote w:id="44">
    <w:p w:rsidR="001D396F" w:rsidRPr="00173F68" w:rsidP="003530BC" w14:paraId="2B792A42" w14:textId="07FB8747">
      <w:pPr>
        <w:pStyle w:val="FootnoteText"/>
      </w:pPr>
      <w:r w:rsidRPr="00173F68">
        <w:rPr>
          <w:rStyle w:val="FootnoteReference"/>
        </w:rPr>
        <w:footnoteRef/>
      </w:r>
      <w:r w:rsidRPr="00173F68">
        <w:rPr>
          <w:i/>
          <w:iCs/>
        </w:rPr>
        <w:t xml:space="preserve"> See</w:t>
      </w:r>
      <w:r w:rsidR="0057416C">
        <w:t xml:space="preserve"> </w:t>
      </w:r>
      <w:r w:rsidRPr="00173F68" w:rsidR="0057416C">
        <w:t xml:space="preserve">47 CFR </w:t>
      </w:r>
      <w:r w:rsidRPr="00173F68">
        <w:t>§ 2.903(</w:t>
      </w:r>
      <w:r w:rsidR="00C5058F">
        <w:t>d</w:t>
      </w:r>
      <w:r w:rsidRPr="00173F68">
        <w:t xml:space="preserve">). </w:t>
      </w:r>
    </w:p>
  </w:footnote>
  <w:footnote w:id="45">
    <w:p w:rsidR="00454EAF" w:rsidRPr="00173F68" w:rsidP="003530BC" w14:paraId="363B6D49" w14:textId="768B953D">
      <w:pPr>
        <w:pStyle w:val="FootnoteText"/>
        <w:rPr>
          <w:snapToGrid w:val="0"/>
          <w:color w:val="000000" w:themeColor="text1"/>
        </w:rPr>
      </w:pPr>
      <w:r w:rsidRPr="00173F68">
        <w:rPr>
          <w:rStyle w:val="FootnoteReference"/>
        </w:rPr>
        <w:footnoteRef/>
      </w:r>
      <w:r w:rsidRPr="00173F68">
        <w:t xml:space="preserve"> </w:t>
      </w:r>
      <w:r w:rsidRPr="00173F68">
        <w:rPr>
          <w:snapToGrid w:val="0"/>
          <w:color w:val="000000" w:themeColor="text1"/>
        </w:rPr>
        <w:t>Section 312(f)(2) of the Act, 47 U.S.C. § 312(f)(2), which applies to violations for which forfeitures are assessed under Section 503(b) of the Act, provides that “[t]he term ‘repeated’, when used with reference to the commission or omission of any act, means the commission or omission of such act more than once or, if such commission or</w:t>
      </w:r>
      <w:r w:rsidRPr="00173F68" w:rsidR="00436B5F">
        <w:rPr>
          <w:snapToGrid w:val="0"/>
          <w:color w:val="000000" w:themeColor="text1"/>
        </w:rPr>
        <w:t xml:space="preserve"> </w:t>
      </w:r>
      <w:r w:rsidRPr="00173F68">
        <w:rPr>
          <w:snapToGrid w:val="0"/>
          <w:color w:val="000000" w:themeColor="text1"/>
        </w:rPr>
        <w:t xml:space="preserve">omission is continuous, for more than one day.” </w:t>
      </w:r>
      <w:r w:rsidRPr="00173F68">
        <w:rPr>
          <w:i/>
          <w:iCs/>
          <w:snapToGrid w:val="0"/>
          <w:color w:val="000000" w:themeColor="text1"/>
        </w:rPr>
        <w:t>See also</w:t>
      </w:r>
      <w:r w:rsidRPr="00173F68">
        <w:rPr>
          <w:snapToGrid w:val="0"/>
          <w:color w:val="000000" w:themeColor="text1"/>
        </w:rPr>
        <w:t xml:space="preserve"> H.R. Rep. No. 97-765, 97th Cong. 2d Sess. 51 (1982) (“This provision [inserted in Section 312] defines the terms ‘willful’ and ‘repeated’ for purposes of section 312, and for any other relevant section of the act (e.g., Section 503) </w:t>
      </w:r>
      <w:r w:rsidRPr="00173F68">
        <w:rPr>
          <w:snapToGrid w:val="0"/>
          <w:color w:val="000000" w:themeColor="text1"/>
        </w:rPr>
        <w:t>. . . .</w:t>
      </w:r>
      <w:r w:rsidRPr="00173F68">
        <w:rPr>
          <w:snapToGrid w:val="0"/>
          <w:color w:val="000000" w:themeColor="text1"/>
        </w:rPr>
        <w:t xml:space="preserve"> As </w:t>
      </w:r>
      <w:r w:rsidRPr="00173F68">
        <w:rPr>
          <w:snapToGrid w:val="0"/>
          <w:color w:val="000000" w:themeColor="text1"/>
        </w:rPr>
        <w:t>defined[</w:t>
      </w:r>
      <w:r w:rsidRPr="00173F68">
        <w:rPr>
          <w:snapToGrid w:val="0"/>
          <w:color w:val="000000" w:themeColor="text1"/>
        </w:rPr>
        <w:t xml:space="preserve">,] . . . ‘willful’ means that the licensee knew that he was doing the act in question, regardless of whether there was an intent to violate the law. ‘Repeated’ means more than once, or where the act is continuous, for more than one day. </w:t>
      </w:r>
      <w:r w:rsidRPr="00173F68">
        <w:rPr>
          <w:i/>
          <w:iCs/>
          <w:snapToGrid w:val="0"/>
          <w:color w:val="000000" w:themeColor="text1"/>
        </w:rPr>
        <w:t xml:space="preserve">Whether an act </w:t>
      </w:r>
      <w:r w:rsidRPr="00173F68">
        <w:rPr>
          <w:i/>
          <w:iCs/>
          <w:snapToGrid w:val="0"/>
          <w:color w:val="000000" w:themeColor="text1"/>
        </w:rPr>
        <w:t>is considered to be</w:t>
      </w:r>
      <w:r w:rsidRPr="00173F68">
        <w:rPr>
          <w:i/>
          <w:iCs/>
          <w:snapToGrid w:val="0"/>
          <w:color w:val="000000" w:themeColor="text1"/>
        </w:rPr>
        <w:t xml:space="preserve"> ‘continuous’ would depend upon the circumstances in each case.</w:t>
      </w:r>
      <w:r w:rsidRPr="00173F68">
        <w:rPr>
          <w:snapToGrid w:val="0"/>
          <w:color w:val="000000" w:themeColor="text1"/>
        </w:rPr>
        <w:t xml:space="preserve"> The definitions are intended primarily to clarify the language in Sections 312 and </w:t>
      </w:r>
      <w:r w:rsidRPr="00173F68">
        <w:rPr>
          <w:snapToGrid w:val="0"/>
          <w:color w:val="000000" w:themeColor="text1"/>
        </w:rPr>
        <w:t>503, and</w:t>
      </w:r>
      <w:r w:rsidRPr="00173F68">
        <w:rPr>
          <w:snapToGrid w:val="0"/>
          <w:color w:val="000000" w:themeColor="text1"/>
        </w:rPr>
        <w:t xml:space="preserve"> are consistent with the </w:t>
      </w:r>
      <w:r w:rsidRPr="00173F68">
        <w:t>Commission’s</w:t>
      </w:r>
      <w:r w:rsidRPr="00173F68">
        <w:rPr>
          <w:snapToGrid w:val="0"/>
          <w:color w:val="000000" w:themeColor="text1"/>
        </w:rPr>
        <w:t xml:space="preserve"> application of those terms </w:t>
      </w:r>
      <w:r w:rsidRPr="00173F68">
        <w:rPr>
          <w:snapToGrid w:val="0"/>
          <w:color w:val="000000" w:themeColor="text1"/>
        </w:rPr>
        <w:t>. . . .</w:t>
      </w:r>
      <w:r w:rsidRPr="00173F68">
        <w:rPr>
          <w:snapToGrid w:val="0"/>
          <w:color w:val="000000" w:themeColor="text1"/>
        </w:rPr>
        <w:t>”) (emphasis added).</w:t>
      </w:r>
    </w:p>
  </w:footnote>
  <w:footnote w:id="46">
    <w:p w:rsidR="003B1C25" w:rsidP="003530BC" w14:paraId="3B72C229" w14:textId="57815D06">
      <w:pPr>
        <w:pStyle w:val="FootnoteText"/>
      </w:pPr>
      <w:r>
        <w:rPr>
          <w:rStyle w:val="FootnoteReference"/>
        </w:rPr>
        <w:footnoteRef/>
      </w:r>
      <w:r>
        <w:t xml:space="preserve"> </w:t>
      </w:r>
      <w:r w:rsidRPr="00173F68">
        <w:t>47 CFR § 2.903(</w:t>
      </w:r>
      <w:r w:rsidR="00C5058F">
        <w:t>d</w:t>
      </w:r>
      <w:r w:rsidRPr="00173F68">
        <w:t>).</w:t>
      </w:r>
    </w:p>
  </w:footnote>
  <w:footnote w:id="47">
    <w:p w:rsidR="00157139" w:rsidRPr="00173F68" w:rsidP="003530BC" w14:paraId="7058BA42" w14:textId="2B7FAEDD">
      <w:pPr>
        <w:pStyle w:val="FootnoteText"/>
      </w:pPr>
      <w:r w:rsidRPr="00173F68">
        <w:rPr>
          <w:rStyle w:val="FootnoteReference"/>
        </w:rPr>
        <w:footnoteRef/>
      </w:r>
      <w:r w:rsidRPr="00173F68">
        <w:t xml:space="preserve"> </w:t>
      </w:r>
      <w:r w:rsidR="00734906">
        <w:t xml:space="preserve">The Commission has </w:t>
      </w:r>
      <w:r w:rsidR="0028247B">
        <w:t xml:space="preserve">held </w:t>
      </w:r>
      <w:r w:rsidR="004F492B">
        <w:t xml:space="preserve">in previous cases that </w:t>
      </w:r>
      <w:r w:rsidR="00734906">
        <w:t>failure to file a required form</w:t>
      </w:r>
      <w:r w:rsidR="00403C7C">
        <w:t>,</w:t>
      </w:r>
      <w:r w:rsidR="00734906">
        <w:t xml:space="preserve"> </w:t>
      </w:r>
      <w:r w:rsidR="004F492B">
        <w:t xml:space="preserve">or to submit </w:t>
      </w:r>
      <w:r w:rsidR="00B45A61">
        <w:t>a</w:t>
      </w:r>
      <w:r w:rsidR="004F492B">
        <w:t xml:space="preserve"> form </w:t>
      </w:r>
      <w:r w:rsidR="00571E29">
        <w:t xml:space="preserve">but </w:t>
      </w:r>
      <w:r w:rsidR="004F492B">
        <w:t>with i</w:t>
      </w:r>
      <w:r w:rsidR="00B45A61">
        <w:t>ncorrect information</w:t>
      </w:r>
      <w:r w:rsidR="00571E29">
        <w:t>,</w:t>
      </w:r>
      <w:r w:rsidR="00B45A61">
        <w:t xml:space="preserve"> </w:t>
      </w:r>
      <w:r w:rsidR="00734906">
        <w:t>constitutes a continuing violation</w:t>
      </w:r>
      <w:r w:rsidR="00B45A61">
        <w:t xml:space="preserve">.  </w:t>
      </w:r>
      <w:r w:rsidRPr="00173F68" w:rsidR="00503D9F">
        <w:rPr>
          <w:i/>
          <w:iCs/>
        </w:rPr>
        <w:t>See</w:t>
      </w:r>
      <w:r w:rsidR="00684C96">
        <w:rPr>
          <w:i/>
          <w:iCs/>
        </w:rPr>
        <w:t>,</w:t>
      </w:r>
      <w:r w:rsidRPr="00173F68" w:rsidR="00503D9F">
        <w:rPr>
          <w:i/>
          <w:iCs/>
        </w:rPr>
        <w:t xml:space="preserve"> e.g.</w:t>
      </w:r>
      <w:r w:rsidRPr="00173F68" w:rsidR="00503D9F">
        <w:t xml:space="preserve">, </w:t>
      </w:r>
      <w:r w:rsidRPr="00173F68" w:rsidR="00A430E8">
        <w:rPr>
          <w:i/>
          <w:iCs/>
        </w:rPr>
        <w:t>Eken Group Limited</w:t>
      </w:r>
      <w:r w:rsidRPr="00173F68" w:rsidR="00A430E8">
        <w:t xml:space="preserve">, </w:t>
      </w:r>
      <w:r w:rsidR="00524328">
        <w:t xml:space="preserve">Notice of Apparent Liability for Forfeiture, </w:t>
      </w:r>
      <w:r w:rsidRPr="00173F68" w:rsidR="00A430E8">
        <w:t>39 FCC Rcd 12990, 1301</w:t>
      </w:r>
      <w:r w:rsidRPr="00173F68" w:rsidR="0028193A">
        <w:t>0</w:t>
      </w:r>
      <w:r w:rsidRPr="00173F68" w:rsidR="00A430E8">
        <w:t xml:space="preserve">, para. </w:t>
      </w:r>
      <w:r w:rsidRPr="00173F68" w:rsidR="00195C5D">
        <w:t>48</w:t>
      </w:r>
      <w:r w:rsidRPr="00173F68" w:rsidR="00A430E8">
        <w:t xml:space="preserve"> (2024) (</w:t>
      </w:r>
      <w:r w:rsidRPr="00173F68" w:rsidR="00C539ED">
        <w:t xml:space="preserve">found that Eken’s equipment certification </w:t>
      </w:r>
      <w:r w:rsidRPr="00E277C1" w:rsidR="00C539ED">
        <w:t>applications certifying an incorrect address for its designated agent was a continuing violation</w:t>
      </w:r>
      <w:r w:rsidRPr="00E277C1" w:rsidR="00A430E8">
        <w:t xml:space="preserve">); </w:t>
      </w:r>
      <w:r w:rsidRPr="00E277C1" w:rsidR="00136E5B">
        <w:rPr>
          <w:i/>
          <w:iCs/>
        </w:rPr>
        <w:t xml:space="preserve">ADMA Telecom, Inc., </w:t>
      </w:r>
      <w:r w:rsidRPr="00E277C1" w:rsidR="00136E5B">
        <w:t xml:space="preserve">Forfeiture Order, </w:t>
      </w:r>
      <w:r w:rsidRPr="00E277C1" w:rsidR="007C1787">
        <w:t>26 FCC Rcd 4152</w:t>
      </w:r>
      <w:r w:rsidRPr="00E277C1" w:rsidR="001C3C37">
        <w:t>,</w:t>
      </w:r>
      <w:r w:rsidRPr="00E277C1" w:rsidR="00F862A2">
        <w:t xml:space="preserve"> 4155</w:t>
      </w:r>
      <w:r w:rsidRPr="00E277C1" w:rsidR="000B5FD0">
        <w:t>, para. 8</w:t>
      </w:r>
      <w:r w:rsidRPr="00E277C1" w:rsidR="007C1787">
        <w:t xml:space="preserve"> (2011)</w:t>
      </w:r>
      <w:r w:rsidRPr="00E277C1" w:rsidR="00F862A2">
        <w:t xml:space="preserve"> (</w:t>
      </w:r>
      <w:r w:rsidRPr="00E277C1" w:rsidR="00930C3B">
        <w:t>finding that ADMA’s failure to register with the FCC was a continuing violation that began on the day ADMA started providing interstate telecommunications service without having registered and continued until it filed its first FCC Form 499)</w:t>
      </w:r>
      <w:r w:rsidRPr="00E277C1" w:rsidR="00D54EAC">
        <w:t xml:space="preserve">; </w:t>
      </w:r>
      <w:r w:rsidRPr="00E277C1" w:rsidR="00D61F3A">
        <w:rPr>
          <w:i/>
          <w:iCs/>
        </w:rPr>
        <w:t>Telrite</w:t>
      </w:r>
      <w:r w:rsidRPr="00E277C1" w:rsidR="00D61F3A">
        <w:rPr>
          <w:i/>
          <w:iCs/>
        </w:rPr>
        <w:t xml:space="preserve"> Corp</w:t>
      </w:r>
      <w:r w:rsidRPr="00E277C1" w:rsidR="00D61F3A">
        <w:t xml:space="preserve">., Notice of Apparent Liability for Forfeiture and Order, 23 FCC Rcd 7231, 7244, para. 30 (2008) (construing the carrier’s failures to file Telecommunications Reporting Worksheets as “continuing violations for which the statute of limitations for forfeiture does not begin to run until the violation is cured”), </w:t>
      </w:r>
      <w:r w:rsidRPr="00E277C1" w:rsidR="00D61F3A">
        <w:rPr>
          <w:i/>
          <w:iCs/>
        </w:rPr>
        <w:t>consent decree entered</w:t>
      </w:r>
      <w:r w:rsidRPr="00E277C1" w:rsidR="00D61F3A">
        <w:t xml:space="preserve">, </w:t>
      </w:r>
      <w:r w:rsidRPr="00E277C1" w:rsidR="00D61F3A">
        <w:rPr>
          <w:i/>
          <w:iCs/>
        </w:rPr>
        <w:t>Telrite</w:t>
      </w:r>
      <w:r w:rsidRPr="00E277C1" w:rsidR="00D61F3A">
        <w:rPr>
          <w:i/>
          <w:iCs/>
        </w:rPr>
        <w:t xml:space="preserve"> Corp., Consent Decree, </w:t>
      </w:r>
      <w:r w:rsidRPr="00E277C1" w:rsidR="00D61F3A">
        <w:t>27 FCC Rcd 4110</w:t>
      </w:r>
      <w:r w:rsidRPr="00E277C1" w:rsidR="00676045">
        <w:t xml:space="preserve"> (2012)</w:t>
      </w:r>
      <w:r w:rsidRPr="00E277C1" w:rsidR="00D61F3A">
        <w:t>;</w:t>
      </w:r>
      <w:r w:rsidRPr="00E277C1" w:rsidR="002105DD">
        <w:t xml:space="preserve"> </w:t>
      </w:r>
      <w:r w:rsidRPr="00E277C1" w:rsidR="00D37455">
        <w:rPr>
          <w:i/>
          <w:iCs/>
        </w:rPr>
        <w:t>VCI Company</w:t>
      </w:r>
      <w:r w:rsidRPr="00E277C1" w:rsidR="00A430E8">
        <w:t>, Notice of Apparent Liability for Forfeiture</w:t>
      </w:r>
      <w:r w:rsidRPr="00E277C1" w:rsidR="00D37455">
        <w:t xml:space="preserve"> and Order, 22</w:t>
      </w:r>
      <w:r w:rsidRPr="00E277C1" w:rsidR="00A430E8">
        <w:t xml:space="preserve"> FCC Rcd </w:t>
      </w:r>
      <w:r w:rsidRPr="00E277C1" w:rsidR="00D37455">
        <w:t>15933, 15940, para. 20 (2007) (finding that an eligible telecommunications carrier’s</w:t>
      </w:r>
      <w:r w:rsidRPr="00E277C1" w:rsidR="002105DD">
        <w:t xml:space="preserve"> </w:t>
      </w:r>
      <w:r w:rsidRPr="00E277C1" w:rsidR="00D37455">
        <w:t xml:space="preserve">failure to file an accurate </w:t>
      </w:r>
      <w:r w:rsidRPr="00E277C1" w:rsidR="002105DD">
        <w:t xml:space="preserve">FCC </w:t>
      </w:r>
      <w:r w:rsidRPr="00E277C1" w:rsidR="00D37455">
        <w:t>Form 497 was a continuing violation until cured);</w:t>
      </w:r>
      <w:r w:rsidRPr="00E277C1" w:rsidR="00330CE0">
        <w:rPr>
          <w:i/>
          <w:iCs/>
        </w:rPr>
        <w:t xml:space="preserve"> USA Teleport, Inc.</w:t>
      </w:r>
      <w:r w:rsidRPr="00E277C1" w:rsidR="00330CE0">
        <w:t xml:space="preserve"> Memorandum Opinion and Order, 26 FCC Rcd 6431, 6435-36</w:t>
      </w:r>
      <w:r w:rsidRPr="00E277C1" w:rsidR="007C2B5E">
        <w:t>, para. 12</w:t>
      </w:r>
      <w:r w:rsidRPr="00E277C1" w:rsidR="00330CE0">
        <w:t xml:space="preserve"> (</w:t>
      </w:r>
      <w:r w:rsidRPr="00E277C1" w:rsidR="00C7424B">
        <w:t xml:space="preserve">EB </w:t>
      </w:r>
      <w:r w:rsidRPr="00E277C1" w:rsidR="00330CE0">
        <w:t>2011) (finding that USAT’s failure to file its 2007 CPNI compliance certification</w:t>
      </w:r>
      <w:r w:rsidRPr="00E277C1" w:rsidR="00AB2966">
        <w:t xml:space="preserve">, </w:t>
      </w:r>
      <w:r w:rsidRPr="00E277C1" w:rsidR="00330CE0">
        <w:t xml:space="preserve">which had a continuing harmful impact on the Commission’s ability to effectively monitor and respond </w:t>
      </w:r>
      <w:r w:rsidRPr="006C2841" w:rsidR="00330CE0">
        <w:t>to violations of consumer privacy</w:t>
      </w:r>
      <w:r w:rsidRPr="006C2841" w:rsidR="00AB2966">
        <w:t xml:space="preserve">, </w:t>
      </w:r>
      <w:r w:rsidRPr="006C2841" w:rsidR="00330CE0">
        <w:t>was a continuing violation until cured);</w:t>
      </w:r>
      <w:r w:rsidRPr="006C2841" w:rsidR="00C7424B">
        <w:t xml:space="preserve"> </w:t>
      </w:r>
      <w:r w:rsidRPr="006C2841" w:rsidR="00A430E8">
        <w:rPr>
          <w:i/>
          <w:iCs/>
        </w:rPr>
        <w:t>Alpheus Commc’ns, LP,</w:t>
      </w:r>
      <w:r w:rsidRPr="006C2841" w:rsidR="00A430E8">
        <w:t xml:space="preserve"> Notice of Apparent Liability for Forfeiture, 25 FCC Rcd 8993, 8998, para. 12 &amp; n.40 (</w:t>
      </w:r>
      <w:r w:rsidRPr="006C2841" w:rsidR="00A64ADE">
        <w:t>EB</w:t>
      </w:r>
      <w:r w:rsidRPr="006C2841" w:rsidR="00A430E8">
        <w:t xml:space="preserve"> 2010) (construing the failure to file timely network-outage reports as a continuing violation)</w:t>
      </w:r>
      <w:r w:rsidRPr="006C2841" w:rsidR="0080164F">
        <w:t xml:space="preserve">, </w:t>
      </w:r>
      <w:r w:rsidRPr="006C2841" w:rsidR="0080164F">
        <w:rPr>
          <w:i/>
          <w:iCs/>
        </w:rPr>
        <w:t>consent decree entered,</w:t>
      </w:r>
      <w:r w:rsidRPr="006C2841" w:rsidR="009525D9">
        <w:rPr>
          <w:i/>
          <w:iCs/>
        </w:rPr>
        <w:t xml:space="preserve"> Alp</w:t>
      </w:r>
      <w:r w:rsidRPr="006C2841" w:rsidR="00133117">
        <w:rPr>
          <w:i/>
          <w:iCs/>
        </w:rPr>
        <w:t>heus Commc’ns</w:t>
      </w:r>
      <w:r w:rsidRPr="006C2841" w:rsidR="00782942">
        <w:rPr>
          <w:i/>
          <w:iCs/>
        </w:rPr>
        <w:t xml:space="preserve"> </w:t>
      </w:r>
      <w:r w:rsidRPr="000C53B3" w:rsidR="00782942">
        <w:rPr>
          <w:i/>
          <w:iCs/>
        </w:rPr>
        <w:t>Consent Decree</w:t>
      </w:r>
      <w:r w:rsidRPr="000C53B3" w:rsidR="00782942">
        <w:t xml:space="preserve">, </w:t>
      </w:r>
      <w:r w:rsidRPr="000C53B3" w:rsidR="002216B3">
        <w:t>26 FCC Rcd 111</w:t>
      </w:r>
      <w:r w:rsidRPr="000C53B3" w:rsidR="00574596">
        <w:t>69</w:t>
      </w:r>
      <w:r w:rsidRPr="000C53B3" w:rsidR="00A46E39">
        <w:t xml:space="preserve"> (</w:t>
      </w:r>
      <w:r w:rsidRPr="000C53B3" w:rsidR="000E7870">
        <w:t xml:space="preserve">EB </w:t>
      </w:r>
      <w:r w:rsidRPr="000C53B3" w:rsidR="00A46E39">
        <w:t>2011)</w:t>
      </w:r>
      <w:r w:rsidRPr="000C53B3" w:rsidR="002F7F78">
        <w:t>.</w:t>
      </w:r>
      <w:r w:rsidRPr="000C53B3" w:rsidR="005631A0">
        <w:t xml:space="preserve">  </w:t>
      </w:r>
      <w:r w:rsidRPr="000C53B3" w:rsidR="005631A0">
        <w:rPr>
          <w:i/>
          <w:iCs/>
        </w:rPr>
        <w:t xml:space="preserve">But see </w:t>
      </w:r>
      <w:r w:rsidRPr="000C53B3" w:rsidR="00255E9A">
        <w:rPr>
          <w:i/>
          <w:iCs/>
        </w:rPr>
        <w:t>BellSouth Telecommunications, LLC, d/b/a/ AT&amp;T Southeast</w:t>
      </w:r>
      <w:r w:rsidRPr="000C53B3" w:rsidR="00255E9A">
        <w:t>, Order, 35 FCC Rcd 8940, 8942</w:t>
      </w:r>
      <w:r w:rsidRPr="000C53B3" w:rsidR="008C5A3B">
        <w:t xml:space="preserve">-43, para. 8 </w:t>
      </w:r>
      <w:r w:rsidRPr="000C53B3" w:rsidR="008C7BBF">
        <w:t>(</w:t>
      </w:r>
      <w:r w:rsidRPr="000C53B3" w:rsidR="00255E9A">
        <w:t>2020)</w:t>
      </w:r>
      <w:r w:rsidRPr="000C53B3" w:rsidR="008C7BBF">
        <w:t xml:space="preserve"> (</w:t>
      </w:r>
      <w:r w:rsidRPr="000C53B3" w:rsidR="00050773">
        <w:t xml:space="preserve">interpreting </w:t>
      </w:r>
      <w:r w:rsidRPr="000C53B3" w:rsidR="00F02460">
        <w:t xml:space="preserve">a </w:t>
      </w:r>
      <w:r w:rsidRPr="000C53B3" w:rsidR="00050773">
        <w:t>“continuing violation” more narrowly in the context of</w:t>
      </w:r>
      <w:r w:rsidRPr="000C53B3" w:rsidR="00124520">
        <w:t xml:space="preserve"> </w:t>
      </w:r>
      <w:r w:rsidRPr="000C53B3" w:rsidR="00050773">
        <w:t>E-Rate filings</w:t>
      </w:r>
      <w:r w:rsidRPr="000C53B3" w:rsidR="00124520">
        <w:t xml:space="preserve"> seeking </w:t>
      </w:r>
      <w:r w:rsidRPr="000C53B3" w:rsidR="004804F0">
        <w:t>reimbursement</w:t>
      </w:r>
      <w:r w:rsidRPr="000C53B3" w:rsidR="00B74545">
        <w:t xml:space="preserve"> and </w:t>
      </w:r>
      <w:r w:rsidRPr="000C53B3" w:rsidR="00C52B1D">
        <w:t xml:space="preserve">the </w:t>
      </w:r>
      <w:r w:rsidRPr="000C53B3" w:rsidR="00B74545">
        <w:t>annual service provide</w:t>
      </w:r>
      <w:r w:rsidRPr="000C53B3" w:rsidR="00DA7F70">
        <w:t>r</w:t>
      </w:r>
      <w:r w:rsidRPr="000C53B3" w:rsidR="00B74545">
        <w:t xml:space="preserve"> certification</w:t>
      </w:r>
      <w:r w:rsidRPr="000C53B3" w:rsidR="00050773">
        <w:t>, by holding that such a violation exists only where there is ongoing improper conduct</w:t>
      </w:r>
      <w:r w:rsidRPr="000C53B3" w:rsidR="0098398B">
        <w:t>,</w:t>
      </w:r>
      <w:r w:rsidRPr="000C53B3" w:rsidR="005631A0">
        <w:t xml:space="preserve"> not where there are ongoing consequences or effects from a discrete event</w:t>
      </w:r>
      <w:r w:rsidRPr="000C53B3" w:rsidR="00841328">
        <w:t>).</w:t>
      </w:r>
      <w:r w:rsidRPr="000C53B3" w:rsidR="009F6EA7">
        <w:t xml:space="preserve">  </w:t>
      </w:r>
      <w:r w:rsidRPr="000C53B3" w:rsidR="000F3D19">
        <w:t xml:space="preserve">This matter is distinguishable on the facts.  In </w:t>
      </w:r>
      <w:r w:rsidRPr="000C53B3" w:rsidR="000F3D19">
        <w:rPr>
          <w:i/>
          <w:iCs/>
        </w:rPr>
        <w:t>BellSouth</w:t>
      </w:r>
      <w:r w:rsidRPr="000C53B3" w:rsidR="000F3D19">
        <w:t xml:space="preserve">, the Commission treated </w:t>
      </w:r>
      <w:r w:rsidRPr="000C53B3" w:rsidR="00D5599E">
        <w:t>the accuracy of each invoice filed with the</w:t>
      </w:r>
      <w:r w:rsidR="00F470B2">
        <w:t xml:space="preserve"> Universal Service Administrative Company</w:t>
      </w:r>
      <w:r w:rsidR="00D3480D">
        <w:t xml:space="preserve"> </w:t>
      </w:r>
      <w:r w:rsidRPr="000C53B3" w:rsidR="007E5D01">
        <w:t>on a specific date</w:t>
      </w:r>
      <w:r w:rsidRPr="000C53B3" w:rsidR="000F3D19">
        <w:t xml:space="preserve"> as a violation when the invoice was issued.  </w:t>
      </w:r>
      <w:r w:rsidRPr="003345E1" w:rsidR="000F3D19">
        <w:rPr>
          <w:i/>
          <w:iCs/>
        </w:rPr>
        <w:t>Id.</w:t>
      </w:r>
      <w:r w:rsidRPr="003345E1" w:rsidR="000F3D19">
        <w:t xml:space="preserve">  </w:t>
      </w:r>
      <w:r w:rsidRPr="003345E1" w:rsidR="00500D58">
        <w:t xml:space="preserve">Here, however, the Commission has established an ongoing obligation for Named Entities to </w:t>
      </w:r>
      <w:r w:rsidRPr="003345E1" w:rsidR="005F0702">
        <w:t xml:space="preserve">submit and </w:t>
      </w:r>
      <w:r w:rsidRPr="003345E1" w:rsidR="00AA37B2">
        <w:t xml:space="preserve">keep </w:t>
      </w:r>
      <w:r w:rsidRPr="003345E1" w:rsidR="00846454">
        <w:t xml:space="preserve">publicly </w:t>
      </w:r>
      <w:r w:rsidRPr="003345E1" w:rsidR="005F0702">
        <w:t>avai</w:t>
      </w:r>
      <w:r w:rsidRPr="003345E1" w:rsidR="00E85A46">
        <w:t>la</w:t>
      </w:r>
      <w:r w:rsidRPr="003345E1" w:rsidR="005F0702">
        <w:t xml:space="preserve">ble </w:t>
      </w:r>
      <w:r w:rsidRPr="003345E1" w:rsidR="003329AD">
        <w:t>information</w:t>
      </w:r>
      <w:r w:rsidRPr="003345E1" w:rsidR="005F0702">
        <w:t xml:space="preserve"> accurate </w:t>
      </w:r>
      <w:r w:rsidRPr="003345E1" w:rsidR="00E85A46">
        <w:t>via section 2.903 filings</w:t>
      </w:r>
      <w:r w:rsidRPr="003345E1" w:rsidR="00AA37B2">
        <w:t>.</w:t>
      </w:r>
      <w:r w:rsidR="00AA37B2">
        <w:rPr>
          <w:u w:val="single"/>
        </w:rPr>
        <w:t xml:space="preserve">  </w:t>
      </w:r>
    </w:p>
  </w:footnote>
  <w:footnote w:id="48">
    <w:p w:rsidR="0022685C" w:rsidRPr="005C3813" w:rsidP="003530BC" w14:paraId="4FA24A59" w14:textId="2671A935">
      <w:pPr>
        <w:pStyle w:val="FootnoteText"/>
      </w:pPr>
      <w:r>
        <w:rPr>
          <w:rStyle w:val="FootnoteReference"/>
        </w:rPr>
        <w:footnoteRef/>
      </w:r>
      <w:r>
        <w:t xml:space="preserve"> </w:t>
      </w:r>
      <w:r w:rsidR="005C3813">
        <w:t xml:space="preserve">Although Zhejiang Dahua submitted a list of associated entities in response to the Dahua LOI, that submission was not made publicly available; </w:t>
      </w:r>
      <w:r w:rsidR="00461B18">
        <w:t xml:space="preserve">that filing therefore failed </w:t>
      </w:r>
      <w:r w:rsidR="005C3813">
        <w:t xml:space="preserve">to meet both the procedural requirements and the fundamental purpose of the Commission’s rule: to ensure transparency and </w:t>
      </w:r>
      <w:r w:rsidR="00461B18">
        <w:t xml:space="preserve">to </w:t>
      </w:r>
      <w:r w:rsidR="005C3813">
        <w:t xml:space="preserve">enable all interested parties to identify entities associated with the Named Entities involved in the production of covered equipment.  </w:t>
      </w:r>
      <w:r w:rsidR="005C3813">
        <w:rPr>
          <w:i/>
          <w:iCs/>
        </w:rPr>
        <w:t>See supra</w:t>
      </w:r>
      <w:r w:rsidR="005C3813">
        <w:t xml:space="preserve"> n. 16.</w:t>
      </w:r>
    </w:p>
  </w:footnote>
  <w:footnote w:id="49">
    <w:p w:rsidR="00F67401" w:rsidRPr="00173F68" w:rsidP="003530BC" w14:paraId="0EAB25EB" w14:textId="18DA8BCB">
      <w:pPr>
        <w:pStyle w:val="FootnoteText"/>
      </w:pPr>
      <w:r w:rsidRPr="00173F68">
        <w:rPr>
          <w:rStyle w:val="FootnoteReference"/>
        </w:rPr>
        <w:footnoteRef/>
      </w:r>
      <w:r w:rsidRPr="00173F68">
        <w:t xml:space="preserve"> </w:t>
      </w:r>
      <w:r w:rsidRPr="00173F68">
        <w:rPr>
          <w:i/>
          <w:iCs/>
        </w:rPr>
        <w:t>See</w:t>
      </w:r>
      <w:r w:rsidRPr="00173F68">
        <w:t xml:space="preserve"> 47 CFR </w:t>
      </w:r>
      <w:r w:rsidRPr="00173F68">
        <w:rPr>
          <w:color w:val="000000" w:themeColor="text1"/>
        </w:rPr>
        <w:t>§ 2.903(</w:t>
      </w:r>
      <w:r w:rsidR="00C5058F">
        <w:rPr>
          <w:color w:val="000000" w:themeColor="text1"/>
        </w:rPr>
        <w:t>d</w:t>
      </w:r>
      <w:r w:rsidRPr="00173F68">
        <w:rPr>
          <w:color w:val="000000" w:themeColor="text1"/>
        </w:rPr>
        <w:t>)(1)</w:t>
      </w:r>
      <w:r w:rsidR="0091361B">
        <w:rPr>
          <w:color w:val="000000" w:themeColor="text1"/>
        </w:rPr>
        <w:t xml:space="preserve">; </w:t>
      </w:r>
      <w:r w:rsidR="0091361B">
        <w:t xml:space="preserve">September 22, </w:t>
      </w:r>
      <w:r w:rsidR="0091361B">
        <w:t>2025</w:t>
      </w:r>
      <w:r w:rsidR="0091361B">
        <w:t xml:space="preserve"> Notice of Subsidiaries and Affiliates</w:t>
      </w:r>
      <w:r w:rsidRPr="00173F68">
        <w:rPr>
          <w:color w:val="000000" w:themeColor="text1"/>
        </w:rPr>
        <w:t>.</w:t>
      </w:r>
    </w:p>
  </w:footnote>
  <w:footnote w:id="50">
    <w:p w:rsidR="00C74477" w:rsidRPr="00173F68" w:rsidP="003530BC" w14:paraId="24815417" w14:textId="1331B1B5">
      <w:pPr>
        <w:pStyle w:val="FootnoteText"/>
      </w:pPr>
      <w:r w:rsidRPr="00173F68">
        <w:rPr>
          <w:rStyle w:val="FootnoteReference"/>
        </w:rPr>
        <w:footnoteRef/>
      </w:r>
      <w:r w:rsidRPr="00173F68">
        <w:t xml:space="preserve"> Indeed, </w:t>
      </w:r>
      <w:r w:rsidRPr="00173F68" w:rsidR="00BA5AAC">
        <w:t xml:space="preserve">when we </w:t>
      </w:r>
      <w:r w:rsidRPr="00173F68">
        <w:t xml:space="preserve">apply the $3,000 base forfeiture </w:t>
      </w:r>
      <w:r w:rsidRPr="00173F68">
        <w:t>on a daily basis</w:t>
      </w:r>
      <w:r w:rsidRPr="00173F68">
        <w:t xml:space="preserve"> starting on </w:t>
      </w:r>
      <w:r w:rsidRPr="00173F68" w:rsidR="00BA5AAC">
        <w:t xml:space="preserve">March 8, 2023, </w:t>
      </w:r>
      <w:r w:rsidRPr="00173F68" w:rsidR="00E42EB5">
        <w:t>Zhejiang Dahu</w:t>
      </w:r>
      <w:r w:rsidRPr="00173F68" w:rsidR="00B72FFE">
        <w:t>a</w:t>
      </w:r>
      <w:r w:rsidRPr="00173F68" w:rsidR="00E42EB5">
        <w:t xml:space="preserve"> would have needed to comply with section 2.903(</w:t>
      </w:r>
      <w:r w:rsidR="00C5058F">
        <w:t>d</w:t>
      </w:r>
      <w:r w:rsidRPr="00173F68" w:rsidR="00E42EB5">
        <w:t xml:space="preserve">) </w:t>
      </w:r>
      <w:r w:rsidR="00C53464">
        <w:t xml:space="preserve">of the Commission’s rules </w:t>
      </w:r>
      <w:r w:rsidRPr="00173F68" w:rsidR="00E42EB5">
        <w:t>before May 10, 2023</w:t>
      </w:r>
      <w:r w:rsidRPr="00173F68" w:rsidR="00B72FFE">
        <w:t xml:space="preserve"> (63 days from the filing deadline) </w:t>
      </w:r>
      <w:r w:rsidRPr="00173F68" w:rsidR="00A81F3C">
        <w:t>for the aggregate base forfeiture to remain within the $188,491 statutory maximum (63 days x $3,000 = $189,000)</w:t>
      </w:r>
      <w:r w:rsidRPr="00173F68" w:rsidR="00911533">
        <w:t>.</w:t>
      </w:r>
      <w:r w:rsidRPr="00173F68" w:rsidR="00BA5AAC">
        <w:t xml:space="preserve"> </w:t>
      </w:r>
    </w:p>
  </w:footnote>
  <w:footnote w:id="51">
    <w:p w:rsidR="00AD0AE0" w:rsidRPr="00173F68" w:rsidP="003530BC" w14:paraId="11D4E664" w14:textId="747B20C0">
      <w:pPr>
        <w:pStyle w:val="FootnoteText"/>
      </w:pPr>
      <w:r w:rsidRPr="00173F68">
        <w:rPr>
          <w:rStyle w:val="FootnoteReference"/>
        </w:rPr>
        <w:footnoteRef/>
      </w:r>
      <w:r w:rsidRPr="00173F68">
        <w:t xml:space="preserve"> </w:t>
      </w:r>
      <w:r w:rsidRPr="00173F68" w:rsidR="00055A49">
        <w:t>47 CFR</w:t>
      </w:r>
      <w:r w:rsidRPr="00173F68" w:rsidR="00E50FF2">
        <w:t xml:space="preserve"> </w:t>
      </w:r>
      <w:r w:rsidRPr="00173F68">
        <w:rPr>
          <w:color w:val="000000" w:themeColor="text1"/>
        </w:rPr>
        <w:t>§ 2.903(</w:t>
      </w:r>
      <w:r w:rsidR="00C5058F">
        <w:rPr>
          <w:color w:val="000000" w:themeColor="text1"/>
        </w:rPr>
        <w:t>d</w:t>
      </w:r>
      <w:r w:rsidRPr="00173F68">
        <w:rPr>
          <w:color w:val="000000" w:themeColor="text1"/>
        </w:rPr>
        <w:t>).</w:t>
      </w:r>
    </w:p>
  </w:footnote>
  <w:footnote w:id="52">
    <w:p w:rsidR="00F3686F" w:rsidRPr="00173F68" w:rsidP="003530BC" w14:paraId="1144298D" w14:textId="52F82758">
      <w:pPr>
        <w:pStyle w:val="FootnoteText"/>
      </w:pPr>
      <w:r w:rsidRPr="00173F68">
        <w:rPr>
          <w:rStyle w:val="FootnoteReference"/>
        </w:rPr>
        <w:footnoteRef/>
      </w:r>
      <w:r w:rsidR="00055A49">
        <w:t xml:space="preserve"> </w:t>
      </w:r>
      <w:r w:rsidRPr="00173F68">
        <w:t>For questions regarding payment procedures, please contact the Financial Operations Group Help Desk by phone at 1-877-480-3201 (option #6).</w:t>
      </w:r>
    </w:p>
  </w:footnote>
  <w:footnote w:id="53">
    <w:p w:rsidR="00F3686F" w:rsidRPr="00173F68" w:rsidP="003530BC" w14:paraId="7EFAD172" w14:textId="1437C7DE">
      <w:pPr>
        <w:pStyle w:val="FootnoteText"/>
      </w:pPr>
      <w:r w:rsidRPr="00173F68">
        <w:rPr>
          <w:rStyle w:val="FootnoteReference"/>
        </w:rPr>
        <w:footnoteRef/>
      </w:r>
      <w:r w:rsidRPr="00173F68">
        <w:t xml:space="preserve"> </w:t>
      </w:r>
      <w:r w:rsidRPr="00173F68" w:rsidR="0035209A">
        <w:t xml:space="preserve">The </w:t>
      </w:r>
      <w:r w:rsidRPr="00173F68">
        <w:t xml:space="preserve">FCC Form 159 is accessible at </w:t>
      </w:r>
      <w:hyperlink r:id="rId5" w:history="1">
        <w:r w:rsidRPr="00173F68">
          <w:rPr>
            <w:rStyle w:val="Hyperlink"/>
          </w:rPr>
          <w:t>https://www.fcc.gov/licensing-databases/fees/fcc-remittance-advice-form-159</w:t>
        </w:r>
      </w:hyperlink>
      <w:r w:rsidRPr="00173F68">
        <w:rPr>
          <w:rStyle w:val="Hyperlink"/>
          <w:color w:val="auto"/>
          <w:u w:val="none"/>
        </w:rPr>
        <w:t>.</w:t>
      </w:r>
    </w:p>
  </w:footnote>
  <w:footnote w:id="54">
    <w:p w:rsidR="00F3686F" w:rsidRPr="00173F68" w:rsidP="003530BC" w14:paraId="774210B3" w14:textId="77777777">
      <w:pPr>
        <w:pStyle w:val="FootnoteText"/>
      </w:pPr>
      <w:r w:rsidRPr="00173F68">
        <w:rPr>
          <w:rStyle w:val="FootnoteReference"/>
        </w:rPr>
        <w:footnoteRef/>
      </w:r>
      <w:r w:rsidRPr="00173F68">
        <w:t xml:space="preserve"> Information completed using the Commission’s Registration System (CORES) does not require the submission of an FCC Form 159.  CORES is accessible at </w:t>
      </w:r>
      <w:hyperlink r:id="rId6" w:history="1">
        <w:r w:rsidRPr="00173F68">
          <w:rPr>
            <w:rStyle w:val="Hyperlink"/>
          </w:rPr>
          <w:t>https://apps.fcc.gov/cores/userLogin.do</w:t>
        </w:r>
      </w:hyperlink>
      <w:r w:rsidRPr="00173F68">
        <w:t>.</w:t>
      </w:r>
    </w:p>
  </w:footnote>
  <w:footnote w:id="55">
    <w:p w:rsidR="00F3686F" w:rsidRPr="00173F68" w:rsidP="003530BC" w14:paraId="3C87A0D5" w14:textId="77777777">
      <w:pPr>
        <w:pStyle w:val="FootnoteText"/>
      </w:pPr>
      <w:r w:rsidRPr="00173F68">
        <w:rPr>
          <w:rStyle w:val="FootnoteReference"/>
        </w:rPr>
        <w:footnoteRef/>
      </w:r>
      <w:r w:rsidRPr="00173F68">
        <w:t xml:space="preserve"> Instructions for completing the form may be obtained at </w:t>
      </w:r>
      <w:hyperlink r:id="rId7" w:history="1">
        <w:r w:rsidRPr="00173F68">
          <w:rPr>
            <w:rStyle w:val="Hyperlink"/>
          </w:rPr>
          <w:t>http://www.fcc.gov/Forms/Form159/159.pdf</w:t>
        </w:r>
      </w:hyperlink>
      <w:r w:rsidRPr="00173F68">
        <w:t xml:space="preserve">. </w:t>
      </w:r>
    </w:p>
  </w:footnote>
  <w:footnote w:id="56">
    <w:p w:rsidR="00F3686F" w:rsidRPr="00173F68" w:rsidP="003530BC" w14:paraId="3A31E452" w14:textId="77777777">
      <w:pPr>
        <w:pStyle w:val="FootnoteText"/>
      </w:pPr>
      <w:r w:rsidRPr="00173F68">
        <w:rPr>
          <w:rStyle w:val="FootnoteReference"/>
        </w:rPr>
        <w:footnoteRef/>
      </w:r>
      <w:r w:rsidRPr="00173F68">
        <w:t xml:space="preserve"> </w:t>
      </w:r>
      <w:r w:rsidRPr="00173F68">
        <w:rPr>
          <w:i/>
        </w:rPr>
        <w:t>See</w:t>
      </w:r>
      <w:r w:rsidRPr="00173F68">
        <w:t xml:space="preserve"> 47 CFR § 1.1914.</w:t>
      </w:r>
    </w:p>
  </w:footnote>
  <w:footnote w:id="57">
    <w:p w:rsidR="00F3686F" w:rsidRPr="00173F68" w:rsidP="003530BC" w14:paraId="2710E892" w14:textId="2FEB7B92">
      <w:pPr>
        <w:pStyle w:val="FootnoteText"/>
        <w:rPr>
          <w:color w:val="000000" w:themeColor="text1"/>
        </w:rPr>
      </w:pPr>
      <w:r w:rsidRPr="00173F68">
        <w:rPr>
          <w:rStyle w:val="FootnoteReference"/>
          <w:color w:val="000000" w:themeColor="text1"/>
        </w:rPr>
        <w:footnoteRef/>
      </w:r>
      <w:r w:rsidRPr="00173F68">
        <w:rPr>
          <w:color w:val="000000" w:themeColor="text1"/>
        </w:rPr>
        <w:t xml:space="preserve"> </w:t>
      </w:r>
      <w:r w:rsidRPr="00173F68" w:rsidR="00C53464">
        <w:t xml:space="preserve">47 CFR </w:t>
      </w:r>
      <w:r w:rsidRPr="00173F68">
        <w:rPr>
          <w:color w:val="000000" w:themeColor="text1"/>
        </w:rPr>
        <w:t>§§ 1.16, 1.80(g)(3).</w:t>
      </w:r>
    </w:p>
  </w:footnote>
  <w:footnote w:id="58">
    <w:p w:rsidR="00F3686F" w:rsidRPr="00173F68" w:rsidP="003530BC" w14:paraId="4EB6E727" w14:textId="77777777">
      <w:pPr>
        <w:pStyle w:val="FootnoteText"/>
      </w:pPr>
      <w:r w:rsidRPr="00173F68">
        <w:rPr>
          <w:rStyle w:val="FootnoteReference"/>
        </w:rPr>
        <w:footnoteRef/>
      </w:r>
      <w:r w:rsidRPr="00173F68">
        <w:t xml:space="preserve"> 47 U.S.C. § 503(b)(2)(E).</w:t>
      </w:r>
    </w:p>
  </w:footnote>
  <w:footnote w:id="59">
    <w:p w:rsidR="00F3686F" w:rsidRPr="00173F68" w:rsidP="003530BC" w14:paraId="59CEB342" w14:textId="77777777">
      <w:pPr>
        <w:pStyle w:val="FootnoteText"/>
      </w:pPr>
      <w:r w:rsidRPr="00173F68">
        <w:rPr>
          <w:rStyle w:val="FootnoteReference"/>
        </w:rPr>
        <w:footnoteRef/>
      </w:r>
      <w:r w:rsidRPr="00173F68">
        <w:t xml:space="preserve"> </w:t>
      </w:r>
      <w:r w:rsidRPr="00173F68">
        <w:rPr>
          <w:i/>
          <w:iCs/>
        </w:rPr>
        <w:t>See, e.g.</w:t>
      </w:r>
      <w:r w:rsidRPr="00173F68">
        <w:t>,</w:t>
      </w:r>
      <w:r w:rsidRPr="00173F68">
        <w:rPr>
          <w:i/>
          <w:iCs/>
        </w:rPr>
        <w:t xml:space="preserve"> Ocean Adrian Hinson, Surry County, North Carolina, </w:t>
      </w:r>
      <w:r w:rsidRPr="00173F68">
        <w:t xml:space="preserve">Forfeiture Order, 34 FCC Rcd 7619, 7621, para. 9 &amp; n.21 (2019); </w:t>
      </w:r>
      <w:r w:rsidRPr="00173F68">
        <w:rPr>
          <w:i/>
          <w:iCs/>
          <w:snapToGrid w:val="0"/>
        </w:rPr>
        <w:t>Vearl Pennington and Michael Williamson</w:t>
      </w:r>
      <w:r w:rsidRPr="00173F68">
        <w:rPr>
          <w:snapToGrid w:val="0"/>
        </w:rPr>
        <w:t xml:space="preserve">, Forfeiture Order, 34 FCC Rcd 770, paras. 18-21 (2019); </w:t>
      </w:r>
      <w:r w:rsidRPr="00173F68">
        <w:rPr>
          <w:i/>
          <w:iCs/>
          <w:snapToGrid w:val="0"/>
        </w:rPr>
        <w:t xml:space="preserve">Fabrice Polynice, Harold Sido and </w:t>
      </w:r>
      <w:r w:rsidRPr="00173F68">
        <w:rPr>
          <w:i/>
          <w:iCs/>
          <w:snapToGrid w:val="0"/>
        </w:rPr>
        <w:t>Veronise</w:t>
      </w:r>
      <w:r w:rsidRPr="00173F68">
        <w:rPr>
          <w:i/>
          <w:iCs/>
          <w:snapToGrid w:val="0"/>
        </w:rPr>
        <w:t xml:space="preserve"> Sido, North Miami, Florida</w:t>
      </w:r>
      <w:r w:rsidRPr="00173F68">
        <w:rPr>
          <w:snapToGrid w:val="0"/>
        </w:rPr>
        <w:t xml:space="preserve">, Forfeiture Order, 33 FCC Rcd 6852, 6860-62, paras. 21-25 (2018); </w:t>
      </w:r>
      <w:r w:rsidRPr="00173F68">
        <w:rPr>
          <w:i/>
          <w:iCs/>
        </w:rPr>
        <w:t>Adrian Abramovich, Marketing Strategy Leaders, Inc., and Marketing Leaders, Inc.</w:t>
      </w:r>
      <w:r w:rsidRPr="00173F68">
        <w:t xml:space="preserve">, Forfeiture Order, 33 FCC Rcd 4663, 4678-79, paras. 44-45 (2018); </w:t>
      </w:r>
      <w:r w:rsidRPr="00173F68">
        <w:rPr>
          <w:i/>
          <w:iCs/>
        </w:rPr>
        <w:t>Purple Communications, Inc.</w:t>
      </w:r>
      <w:r w:rsidRPr="00173F68">
        <w:t xml:space="preserve">, Forfeiture Order, 30 FCC Rcd 14892, 14903-04, paras. 32-33 (2015); </w:t>
      </w:r>
      <w:r w:rsidRPr="00173F68">
        <w:rPr>
          <w:i/>
          <w:iCs/>
          <w:snapToGrid w:val="0"/>
        </w:rPr>
        <w:t>TV Max, Inc., et al</w:t>
      </w:r>
      <w:r w:rsidRPr="00173F68">
        <w:rPr>
          <w:snapToGrid w:val="0"/>
        </w:rPr>
        <w:t>., Forfeiture Order, 29 FCC Rcd 8648, 8661, para. 25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85A" w:rsidP="002E785A" w14:paraId="783316E3" w14:textId="04BACFBA">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86314612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A279C9">
      <w:rPr>
        <w:spacing w:val="-2"/>
      </w:rPr>
      <w:t xml:space="preserve">FCC  </w:t>
    </w:r>
    <w:r w:rsidRPr="00A279C9" w:rsidR="00A279C9">
      <w:rPr>
        <w:bCs/>
        <w:spacing w:val="-2"/>
      </w:rPr>
      <w:t>26-7</w:t>
    </w:r>
  </w:p>
  <w:p w:rsidR="00DC3D5C" w:rsidRPr="002E785A" w:rsidP="002E785A" w14:paraId="74AFB3C4" w14:textId="1A8C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85A" w:rsidP="002E785A" w14:paraId="47BA2F14" w14:textId="21C9FC88">
    <w:pPr>
      <w:pStyle w:val="Header"/>
      <w:rPr>
        <w:b w:val="0"/>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tab/>
      <w:t>Federal Communications Commission</w:t>
    </w:r>
    <w:r>
      <w:tab/>
    </w:r>
    <w:r w:rsidR="00A279C9">
      <w:rPr>
        <w:spacing w:val="-2"/>
      </w:rPr>
      <w:t xml:space="preserve">FCC  </w:t>
    </w:r>
    <w:r w:rsidRPr="00A279C9" w:rsidR="00A279C9">
      <w:rPr>
        <w:bCs/>
        <w:spacing w:val="-2"/>
      </w:rPr>
      <w:t>26-7</w:t>
    </w:r>
  </w:p>
  <w:p w:rsidR="00DC3D5C" w:rsidRPr="002E785A" w:rsidP="002E785A" w14:paraId="5E94A70A" w14:textId="38D85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4E663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9C821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0A85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B6E75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14ADD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9857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5281A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DF2CD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4364F22"/>
    <w:lvl w:ilvl="0">
      <w:start w:val="1"/>
      <w:numFmt w:val="decimal"/>
      <w:pStyle w:val="ListNumber"/>
      <w:lvlText w:val="%1."/>
      <w:lvlJc w:val="left"/>
      <w:pPr>
        <w:tabs>
          <w:tab w:val="num" w:pos="360"/>
        </w:tabs>
        <w:ind w:left="360" w:hanging="360"/>
      </w:pPr>
    </w:lvl>
  </w:abstractNum>
  <w:abstractNum w:abstractNumId="9">
    <w:nsid w:val="FFFFFF89"/>
    <w:multiLevelType w:val="singleLevel"/>
    <w:tmpl w:val="A3CAF0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B1923"/>
    <w:multiLevelType w:val="hybridMultilevel"/>
    <w:tmpl w:val="EE4ED9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84B453C"/>
    <w:multiLevelType w:val="singleLevel"/>
    <w:tmpl w:val="40A8E97A"/>
    <w:lvl w:ilvl="0">
      <w:start w:val="1"/>
      <w:numFmt w:val="decimal"/>
      <w:lvlText w:val="%1."/>
      <w:lvlJc w:val="left"/>
      <w:pPr>
        <w:tabs>
          <w:tab w:val="num" w:pos="1080"/>
        </w:tabs>
        <w:ind w:left="0" w:firstLine="720"/>
      </w:pPr>
    </w:lvl>
  </w:abstractNum>
  <w:abstractNum w:abstractNumId="12">
    <w:nsid w:val="0A771CEB"/>
    <w:multiLevelType w:val="hybridMultilevel"/>
    <w:tmpl w:val="A7C230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E7D7FD7"/>
    <w:multiLevelType w:val="hybridMultilevel"/>
    <w:tmpl w:val="808C234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0FE45C4E"/>
    <w:multiLevelType w:val="hybridMultilevel"/>
    <w:tmpl w:val="D2F80E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3E2036D"/>
    <w:multiLevelType w:val="hybridMultilevel"/>
    <w:tmpl w:val="34003A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C4647"/>
    <w:multiLevelType w:val="hybridMultilevel"/>
    <w:tmpl w:val="A56803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990123"/>
    <w:multiLevelType w:val="hybridMultilevel"/>
    <w:tmpl w:val="DCF41EFC"/>
    <w:lvl w:ilvl="0">
      <w:start w:val="1"/>
      <w:numFmt w:val="bullet"/>
      <w:lvlText w:val=""/>
      <w:lvlJc w:val="left"/>
      <w:pPr>
        <w:ind w:left="1080" w:hanging="360"/>
      </w:pPr>
      <w:rPr>
        <w:rFonts w:ascii="Symbol" w:hAnsi="Symbol" w:hint="default"/>
        <w:color w:val="auto"/>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23417D"/>
    <w:multiLevelType w:val="multilevel"/>
    <w:tmpl w:val="55B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8B5832"/>
    <w:multiLevelType w:val="hybridMultilevel"/>
    <w:tmpl w:val="57C0BE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1">
    <w:nsid w:val="248246F3"/>
    <w:multiLevelType w:val="singleLevel"/>
    <w:tmpl w:val="B1F45678"/>
    <w:lvl w:ilvl="0">
      <w:start w:val="1"/>
      <w:numFmt w:val="decimal"/>
      <w:lvlText w:val="%1."/>
      <w:lvlJc w:val="left"/>
      <w:pPr>
        <w:tabs>
          <w:tab w:val="num" w:pos="1080"/>
        </w:tabs>
        <w:ind w:left="0" w:firstLine="720"/>
      </w:p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56B40596"/>
    <w:multiLevelType w:val="hybridMultilevel"/>
    <w:tmpl w:val="60CAADFC"/>
    <w:lvl w:ilvl="0">
      <w:start w:val="4"/>
      <w:numFmt w:val="bullet"/>
      <w:lvlText w:val="•"/>
      <w:lvlJc w:val="left"/>
      <w:pPr>
        <w:ind w:left="1080" w:hanging="360"/>
      </w:pPr>
      <w:rPr>
        <w:rFonts w:ascii="Times New Roman Bold" w:eastAsia="Times New Roman" w:hAnsi="Times New Roman Bold"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26">
    <w:nsid w:val="628E1E95"/>
    <w:multiLevelType w:val="singleLevel"/>
    <w:tmpl w:val="4F1400D0"/>
    <w:lvl w:ilvl="0">
      <w:start w:val="1"/>
      <w:numFmt w:val="decimal"/>
      <w:pStyle w:val="par1"/>
      <w:lvlText w:val="%1."/>
      <w:lvlJc w:val="left"/>
      <w:pPr>
        <w:tabs>
          <w:tab w:val="num" w:pos="1080"/>
        </w:tabs>
        <w:ind w:firstLine="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abstractNum>
  <w:abstractNum w:abstractNumId="27">
    <w:nsid w:val="62FB739F"/>
    <w:multiLevelType w:val="hybridMultilevel"/>
    <w:tmpl w:val="B51686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D2B48D2"/>
    <w:multiLevelType w:val="singleLevel"/>
    <w:tmpl w:val="462A4EC8"/>
    <w:lvl w:ilvl="0">
      <w:start w:val="1"/>
      <w:numFmt w:val="decimal"/>
      <w:pStyle w:val="Paranum"/>
      <w:lvlText w:val="%1."/>
      <w:lvlJc w:val="left"/>
      <w:pPr>
        <w:tabs>
          <w:tab w:val="num" w:pos="1080"/>
        </w:tabs>
        <w:ind w:firstLine="720"/>
      </w:pPr>
      <w:rPr>
        <w:rFonts w:cs="Times New Roman"/>
        <w:b w:val="0"/>
        <w:color w:val="auto"/>
      </w:rPr>
    </w:lvl>
  </w:abstractNum>
  <w:abstractNum w:abstractNumId="29">
    <w:nsid w:val="78825B15"/>
    <w:multiLevelType w:val="hybridMultilevel"/>
    <w:tmpl w:val="5CA8F4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D3346B"/>
    <w:multiLevelType w:val="hybridMultilevel"/>
    <w:tmpl w:val="790A13C0"/>
    <w:lvl w:ilvl="0">
      <w:start w:val="1"/>
      <w:numFmt w:val="decimal"/>
      <w:lvlText w:val="%1."/>
      <w:lvlJc w:val="left"/>
      <w:pPr>
        <w:tabs>
          <w:tab w:val="num" w:pos="720"/>
        </w:tabs>
        <w:ind w:firstLine="720"/>
      </w:pPr>
      <w:rPr>
        <w:rFonts w:ascii="Times New Roman" w:hAnsi="Times New Roman" w:cs="Times New Roman" w:hint="default"/>
        <w:b w:val="0"/>
        <w:i w:val="0"/>
        <w:sz w:val="22"/>
        <w:szCs w:val="22"/>
      </w:rPr>
    </w:lvl>
    <w:lvl w:ilvl="1">
      <w:start w:val="1"/>
      <w:numFmt w:val="lowerLetter"/>
      <w:pStyle w:val="StyleParaNumAfter0pt"/>
      <w:lvlText w:val="(%2)"/>
      <w:lvlJc w:val="left"/>
      <w:pPr>
        <w:tabs>
          <w:tab w:val="num" w:pos="1440"/>
        </w:tabs>
        <w:ind w:left="1440" w:hanging="360"/>
      </w:pPr>
      <w:rPr>
        <w:rFonts w:cs="Times New Roman" w:hint="default"/>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213692841">
    <w:abstractNumId w:val="28"/>
  </w:num>
  <w:num w:numId="2" w16cid:durableId="463425027">
    <w:abstractNumId w:val="26"/>
  </w:num>
  <w:num w:numId="3" w16cid:durableId="1458835011">
    <w:abstractNumId w:val="25"/>
  </w:num>
  <w:num w:numId="4" w16cid:durableId="1720980325">
    <w:abstractNumId w:val="30"/>
  </w:num>
  <w:num w:numId="5" w16cid:durableId="1179150436">
    <w:abstractNumId w:val="22"/>
  </w:num>
  <w:num w:numId="6" w16cid:durableId="14811439">
    <w:abstractNumId w:val="10"/>
  </w:num>
  <w:num w:numId="7" w16cid:durableId="843939410">
    <w:abstractNumId w:val="16"/>
  </w:num>
  <w:num w:numId="8" w16cid:durableId="856387652">
    <w:abstractNumId w:val="27"/>
  </w:num>
  <w:num w:numId="9" w16cid:durableId="1880586797">
    <w:abstractNumId w:val="14"/>
  </w:num>
  <w:num w:numId="10" w16cid:durableId="1287589018">
    <w:abstractNumId w:val="12"/>
  </w:num>
  <w:num w:numId="11" w16cid:durableId="1118793692">
    <w:abstractNumId w:val="20"/>
  </w:num>
  <w:num w:numId="12" w16cid:durableId="709957770">
    <w:abstractNumId w:val="23"/>
  </w:num>
  <w:num w:numId="13" w16cid:durableId="1635722097">
    <w:abstractNumId w:val="21"/>
  </w:num>
  <w:num w:numId="14" w16cid:durableId="897089343">
    <w:abstractNumId w:val="11"/>
  </w:num>
  <w:num w:numId="15" w16cid:durableId="1471634902">
    <w:abstractNumId w:val="24"/>
  </w:num>
  <w:num w:numId="16" w16cid:durableId="1300764077">
    <w:abstractNumId w:val="19"/>
  </w:num>
  <w:num w:numId="17" w16cid:durableId="760225113">
    <w:abstractNumId w:val="15"/>
  </w:num>
  <w:num w:numId="18" w16cid:durableId="2083486572">
    <w:abstractNumId w:val="17"/>
  </w:num>
  <w:num w:numId="19" w16cid:durableId="1345548734">
    <w:abstractNumId w:val="25"/>
    <w:lvlOverride w:ilvl="0">
      <w:startOverride w:val="1"/>
    </w:lvlOverride>
  </w:num>
  <w:num w:numId="20" w16cid:durableId="1418358432">
    <w:abstractNumId w:val="25"/>
  </w:num>
  <w:num w:numId="21" w16cid:durableId="765737655">
    <w:abstractNumId w:val="29"/>
  </w:num>
  <w:num w:numId="22" w16cid:durableId="1115635279">
    <w:abstractNumId w:val="25"/>
  </w:num>
  <w:num w:numId="23" w16cid:durableId="273757009">
    <w:abstractNumId w:val="25"/>
  </w:num>
  <w:num w:numId="24" w16cid:durableId="1197936696">
    <w:abstractNumId w:val="13"/>
  </w:num>
  <w:num w:numId="25" w16cid:durableId="195197786">
    <w:abstractNumId w:val="18"/>
  </w:num>
  <w:num w:numId="26" w16cid:durableId="314649768">
    <w:abstractNumId w:val="9"/>
  </w:num>
  <w:num w:numId="27" w16cid:durableId="292254023">
    <w:abstractNumId w:val="7"/>
  </w:num>
  <w:num w:numId="28" w16cid:durableId="1203664284">
    <w:abstractNumId w:val="6"/>
  </w:num>
  <w:num w:numId="29" w16cid:durableId="354772052">
    <w:abstractNumId w:val="5"/>
  </w:num>
  <w:num w:numId="30" w16cid:durableId="134833030">
    <w:abstractNumId w:val="4"/>
  </w:num>
  <w:num w:numId="31" w16cid:durableId="64761390">
    <w:abstractNumId w:val="8"/>
  </w:num>
  <w:num w:numId="32" w16cid:durableId="573782159">
    <w:abstractNumId w:val="3"/>
  </w:num>
  <w:num w:numId="33" w16cid:durableId="1420714621">
    <w:abstractNumId w:val="2"/>
  </w:num>
  <w:num w:numId="34" w16cid:durableId="2127693260">
    <w:abstractNumId w:val="1"/>
  </w:num>
  <w:num w:numId="35" w16cid:durableId="40357188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numRestart w:val="eachSect"/>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81"/>
    <w:rsid w:val="00000794"/>
    <w:rsid w:val="00000C6C"/>
    <w:rsid w:val="00000D69"/>
    <w:rsid w:val="00001F91"/>
    <w:rsid w:val="000021A3"/>
    <w:rsid w:val="0000282A"/>
    <w:rsid w:val="00002A63"/>
    <w:rsid w:val="00003183"/>
    <w:rsid w:val="000037FC"/>
    <w:rsid w:val="00004A28"/>
    <w:rsid w:val="00005870"/>
    <w:rsid w:val="00006096"/>
    <w:rsid w:val="0000630D"/>
    <w:rsid w:val="00006A27"/>
    <w:rsid w:val="00006B8F"/>
    <w:rsid w:val="000070A3"/>
    <w:rsid w:val="0000715C"/>
    <w:rsid w:val="00007B9F"/>
    <w:rsid w:val="0001067E"/>
    <w:rsid w:val="00011189"/>
    <w:rsid w:val="00011FC8"/>
    <w:rsid w:val="00012592"/>
    <w:rsid w:val="0001259D"/>
    <w:rsid w:val="00012C50"/>
    <w:rsid w:val="00012CEF"/>
    <w:rsid w:val="00013172"/>
    <w:rsid w:val="00013675"/>
    <w:rsid w:val="000136FB"/>
    <w:rsid w:val="00013D59"/>
    <w:rsid w:val="00014D9B"/>
    <w:rsid w:val="000153B7"/>
    <w:rsid w:val="00015645"/>
    <w:rsid w:val="00015D7C"/>
    <w:rsid w:val="00015F4F"/>
    <w:rsid w:val="0001758D"/>
    <w:rsid w:val="00020009"/>
    <w:rsid w:val="0002061D"/>
    <w:rsid w:val="00020CF1"/>
    <w:rsid w:val="000212F2"/>
    <w:rsid w:val="00021D94"/>
    <w:rsid w:val="000221BE"/>
    <w:rsid w:val="00022214"/>
    <w:rsid w:val="00022AA8"/>
    <w:rsid w:val="000232F6"/>
    <w:rsid w:val="00023366"/>
    <w:rsid w:val="0002336B"/>
    <w:rsid w:val="00023D95"/>
    <w:rsid w:val="00023E58"/>
    <w:rsid w:val="00023F54"/>
    <w:rsid w:val="00024160"/>
    <w:rsid w:val="00024315"/>
    <w:rsid w:val="000247D3"/>
    <w:rsid w:val="00024D51"/>
    <w:rsid w:val="0002514C"/>
    <w:rsid w:val="000255CE"/>
    <w:rsid w:val="00025B33"/>
    <w:rsid w:val="00026326"/>
    <w:rsid w:val="00026F3F"/>
    <w:rsid w:val="00027C97"/>
    <w:rsid w:val="00031191"/>
    <w:rsid w:val="000312F4"/>
    <w:rsid w:val="000319AD"/>
    <w:rsid w:val="00032520"/>
    <w:rsid w:val="0003265C"/>
    <w:rsid w:val="000334EC"/>
    <w:rsid w:val="0003452D"/>
    <w:rsid w:val="00034D5A"/>
    <w:rsid w:val="00035A99"/>
    <w:rsid w:val="00036451"/>
    <w:rsid w:val="00040749"/>
    <w:rsid w:val="00040ABD"/>
    <w:rsid w:val="00040C91"/>
    <w:rsid w:val="000412F0"/>
    <w:rsid w:val="000413FE"/>
    <w:rsid w:val="00041435"/>
    <w:rsid w:val="0004182D"/>
    <w:rsid w:val="0004206A"/>
    <w:rsid w:val="00042452"/>
    <w:rsid w:val="0004272C"/>
    <w:rsid w:val="00042972"/>
    <w:rsid w:val="00042E52"/>
    <w:rsid w:val="000430C1"/>
    <w:rsid w:val="00043939"/>
    <w:rsid w:val="00043BB1"/>
    <w:rsid w:val="00043C5E"/>
    <w:rsid w:val="0004556B"/>
    <w:rsid w:val="000457E5"/>
    <w:rsid w:val="00045A25"/>
    <w:rsid w:val="00046C16"/>
    <w:rsid w:val="00046F88"/>
    <w:rsid w:val="000475FE"/>
    <w:rsid w:val="00047C22"/>
    <w:rsid w:val="00050773"/>
    <w:rsid w:val="00051D83"/>
    <w:rsid w:val="00051FC4"/>
    <w:rsid w:val="000520FE"/>
    <w:rsid w:val="00052A75"/>
    <w:rsid w:val="000535EE"/>
    <w:rsid w:val="00053BF2"/>
    <w:rsid w:val="00054B1C"/>
    <w:rsid w:val="0005514C"/>
    <w:rsid w:val="00055A49"/>
    <w:rsid w:val="0005743A"/>
    <w:rsid w:val="00060BD6"/>
    <w:rsid w:val="00060BE8"/>
    <w:rsid w:val="00060CB1"/>
    <w:rsid w:val="00061700"/>
    <w:rsid w:val="0006186A"/>
    <w:rsid w:val="00061891"/>
    <w:rsid w:val="00061C29"/>
    <w:rsid w:val="00062516"/>
    <w:rsid w:val="00062A00"/>
    <w:rsid w:val="00062C72"/>
    <w:rsid w:val="0006340A"/>
    <w:rsid w:val="000636B7"/>
    <w:rsid w:val="000638D3"/>
    <w:rsid w:val="00064525"/>
    <w:rsid w:val="00064C65"/>
    <w:rsid w:val="00064F40"/>
    <w:rsid w:val="00065E2D"/>
    <w:rsid w:val="000660DD"/>
    <w:rsid w:val="0006636C"/>
    <w:rsid w:val="00066934"/>
    <w:rsid w:val="00067837"/>
    <w:rsid w:val="00067CFF"/>
    <w:rsid w:val="00067DA4"/>
    <w:rsid w:val="0007102F"/>
    <w:rsid w:val="00071253"/>
    <w:rsid w:val="00071C18"/>
    <w:rsid w:val="00071EB6"/>
    <w:rsid w:val="00074E28"/>
    <w:rsid w:val="00074EE6"/>
    <w:rsid w:val="00074F2C"/>
    <w:rsid w:val="00075D7C"/>
    <w:rsid w:val="00075DC2"/>
    <w:rsid w:val="00075DDA"/>
    <w:rsid w:val="000760DA"/>
    <w:rsid w:val="000768CE"/>
    <w:rsid w:val="00077222"/>
    <w:rsid w:val="00077C45"/>
    <w:rsid w:val="000804B4"/>
    <w:rsid w:val="00081280"/>
    <w:rsid w:val="0008150F"/>
    <w:rsid w:val="000828B7"/>
    <w:rsid w:val="00082C14"/>
    <w:rsid w:val="00083739"/>
    <w:rsid w:val="00083BBB"/>
    <w:rsid w:val="00084F62"/>
    <w:rsid w:val="0008593B"/>
    <w:rsid w:val="00085D5B"/>
    <w:rsid w:val="000863AE"/>
    <w:rsid w:val="00086791"/>
    <w:rsid w:val="00086B62"/>
    <w:rsid w:val="000871B9"/>
    <w:rsid w:val="0008793B"/>
    <w:rsid w:val="000907C9"/>
    <w:rsid w:val="00090B4D"/>
    <w:rsid w:val="00090DEB"/>
    <w:rsid w:val="000924D1"/>
    <w:rsid w:val="00092A66"/>
    <w:rsid w:val="00092BAB"/>
    <w:rsid w:val="00092BF2"/>
    <w:rsid w:val="00093B31"/>
    <w:rsid w:val="00094485"/>
    <w:rsid w:val="00095531"/>
    <w:rsid w:val="00095744"/>
    <w:rsid w:val="000973EC"/>
    <w:rsid w:val="00097C96"/>
    <w:rsid w:val="00097E37"/>
    <w:rsid w:val="00097E99"/>
    <w:rsid w:val="00097FB4"/>
    <w:rsid w:val="000A02F1"/>
    <w:rsid w:val="000A0708"/>
    <w:rsid w:val="000A084F"/>
    <w:rsid w:val="000A1455"/>
    <w:rsid w:val="000A2104"/>
    <w:rsid w:val="000A210A"/>
    <w:rsid w:val="000A2DEF"/>
    <w:rsid w:val="000A3027"/>
    <w:rsid w:val="000A34F3"/>
    <w:rsid w:val="000A3C21"/>
    <w:rsid w:val="000A49A4"/>
    <w:rsid w:val="000A4B2B"/>
    <w:rsid w:val="000A573F"/>
    <w:rsid w:val="000A57AC"/>
    <w:rsid w:val="000A65A9"/>
    <w:rsid w:val="000A6D88"/>
    <w:rsid w:val="000A72EB"/>
    <w:rsid w:val="000A78F3"/>
    <w:rsid w:val="000B07B1"/>
    <w:rsid w:val="000B0939"/>
    <w:rsid w:val="000B144A"/>
    <w:rsid w:val="000B18CA"/>
    <w:rsid w:val="000B1A19"/>
    <w:rsid w:val="000B1F81"/>
    <w:rsid w:val="000B3A9C"/>
    <w:rsid w:val="000B40E8"/>
    <w:rsid w:val="000B5594"/>
    <w:rsid w:val="000B55D3"/>
    <w:rsid w:val="000B5984"/>
    <w:rsid w:val="000B5AF6"/>
    <w:rsid w:val="000B5FAA"/>
    <w:rsid w:val="000B5FD0"/>
    <w:rsid w:val="000B6354"/>
    <w:rsid w:val="000B696A"/>
    <w:rsid w:val="000B74EE"/>
    <w:rsid w:val="000C03A5"/>
    <w:rsid w:val="000C04D1"/>
    <w:rsid w:val="000C0BB8"/>
    <w:rsid w:val="000C1717"/>
    <w:rsid w:val="000C1C68"/>
    <w:rsid w:val="000C238F"/>
    <w:rsid w:val="000C410D"/>
    <w:rsid w:val="000C41E8"/>
    <w:rsid w:val="000C51AB"/>
    <w:rsid w:val="000C53B3"/>
    <w:rsid w:val="000C5636"/>
    <w:rsid w:val="000C59B8"/>
    <w:rsid w:val="000C606F"/>
    <w:rsid w:val="000C6B5B"/>
    <w:rsid w:val="000C6E17"/>
    <w:rsid w:val="000C6E40"/>
    <w:rsid w:val="000C7B8B"/>
    <w:rsid w:val="000D2AC3"/>
    <w:rsid w:val="000D3BEE"/>
    <w:rsid w:val="000D3D44"/>
    <w:rsid w:val="000D4185"/>
    <w:rsid w:val="000D45EA"/>
    <w:rsid w:val="000D53BB"/>
    <w:rsid w:val="000D562C"/>
    <w:rsid w:val="000D5CEF"/>
    <w:rsid w:val="000D61E4"/>
    <w:rsid w:val="000D6DA3"/>
    <w:rsid w:val="000D6F22"/>
    <w:rsid w:val="000D79C0"/>
    <w:rsid w:val="000D7A4B"/>
    <w:rsid w:val="000E0BD7"/>
    <w:rsid w:val="000E124A"/>
    <w:rsid w:val="000E1CEE"/>
    <w:rsid w:val="000E2906"/>
    <w:rsid w:val="000E2C57"/>
    <w:rsid w:val="000E3250"/>
    <w:rsid w:val="000E3C6A"/>
    <w:rsid w:val="000E4306"/>
    <w:rsid w:val="000E4F5C"/>
    <w:rsid w:val="000E51BA"/>
    <w:rsid w:val="000E5D76"/>
    <w:rsid w:val="000E66AB"/>
    <w:rsid w:val="000E691B"/>
    <w:rsid w:val="000E71A8"/>
    <w:rsid w:val="000E76AF"/>
    <w:rsid w:val="000E7870"/>
    <w:rsid w:val="000F0272"/>
    <w:rsid w:val="000F0B88"/>
    <w:rsid w:val="000F11B8"/>
    <w:rsid w:val="000F1230"/>
    <w:rsid w:val="000F1478"/>
    <w:rsid w:val="000F1523"/>
    <w:rsid w:val="000F1FEB"/>
    <w:rsid w:val="000F22A2"/>
    <w:rsid w:val="000F2999"/>
    <w:rsid w:val="000F2EAE"/>
    <w:rsid w:val="000F3D19"/>
    <w:rsid w:val="000F41D6"/>
    <w:rsid w:val="000F438B"/>
    <w:rsid w:val="000F4480"/>
    <w:rsid w:val="000F4DF5"/>
    <w:rsid w:val="000F66BB"/>
    <w:rsid w:val="000F7424"/>
    <w:rsid w:val="000F7572"/>
    <w:rsid w:val="001002A6"/>
    <w:rsid w:val="00100B90"/>
    <w:rsid w:val="00101A38"/>
    <w:rsid w:val="00101F4D"/>
    <w:rsid w:val="00103CEA"/>
    <w:rsid w:val="00104411"/>
    <w:rsid w:val="001046EE"/>
    <w:rsid w:val="00105508"/>
    <w:rsid w:val="00105544"/>
    <w:rsid w:val="001056BA"/>
    <w:rsid w:val="00106C96"/>
    <w:rsid w:val="00106E95"/>
    <w:rsid w:val="00107520"/>
    <w:rsid w:val="00110261"/>
    <w:rsid w:val="00111A21"/>
    <w:rsid w:val="00113522"/>
    <w:rsid w:val="00113784"/>
    <w:rsid w:val="00113BC4"/>
    <w:rsid w:val="00115DC0"/>
    <w:rsid w:val="00115F78"/>
    <w:rsid w:val="001163AE"/>
    <w:rsid w:val="00116919"/>
    <w:rsid w:val="00116FE5"/>
    <w:rsid w:val="00117070"/>
    <w:rsid w:val="00121AD0"/>
    <w:rsid w:val="0012243D"/>
    <w:rsid w:val="00122A8F"/>
    <w:rsid w:val="00124520"/>
    <w:rsid w:val="00124612"/>
    <w:rsid w:val="001266C4"/>
    <w:rsid w:val="00126D1C"/>
    <w:rsid w:val="0012720A"/>
    <w:rsid w:val="0012722D"/>
    <w:rsid w:val="0012763C"/>
    <w:rsid w:val="00127CB2"/>
    <w:rsid w:val="0013200E"/>
    <w:rsid w:val="0013283B"/>
    <w:rsid w:val="001328D1"/>
    <w:rsid w:val="00132BCB"/>
    <w:rsid w:val="00133117"/>
    <w:rsid w:val="001336C6"/>
    <w:rsid w:val="0013421A"/>
    <w:rsid w:val="0013427E"/>
    <w:rsid w:val="0013442B"/>
    <w:rsid w:val="00134A1A"/>
    <w:rsid w:val="001353CD"/>
    <w:rsid w:val="00135790"/>
    <w:rsid w:val="001359D1"/>
    <w:rsid w:val="00136E5B"/>
    <w:rsid w:val="00137060"/>
    <w:rsid w:val="001374F2"/>
    <w:rsid w:val="001374F8"/>
    <w:rsid w:val="00137B5C"/>
    <w:rsid w:val="00137BCF"/>
    <w:rsid w:val="0014005D"/>
    <w:rsid w:val="00140251"/>
    <w:rsid w:val="0014185C"/>
    <w:rsid w:val="001421EA"/>
    <w:rsid w:val="001422A3"/>
    <w:rsid w:val="001435D9"/>
    <w:rsid w:val="001437AA"/>
    <w:rsid w:val="0014680D"/>
    <w:rsid w:val="001470CE"/>
    <w:rsid w:val="00147105"/>
    <w:rsid w:val="001471E2"/>
    <w:rsid w:val="00147795"/>
    <w:rsid w:val="00147C2F"/>
    <w:rsid w:val="001501EF"/>
    <w:rsid w:val="00150A00"/>
    <w:rsid w:val="001531F1"/>
    <w:rsid w:val="00154FFD"/>
    <w:rsid w:val="001554F1"/>
    <w:rsid w:val="00155752"/>
    <w:rsid w:val="00155DB4"/>
    <w:rsid w:val="00155E0B"/>
    <w:rsid w:val="00156141"/>
    <w:rsid w:val="001564D8"/>
    <w:rsid w:val="00156E4A"/>
    <w:rsid w:val="00156EA4"/>
    <w:rsid w:val="00157139"/>
    <w:rsid w:val="00157C70"/>
    <w:rsid w:val="001602AA"/>
    <w:rsid w:val="00160D5A"/>
    <w:rsid w:val="00161B26"/>
    <w:rsid w:val="00161F39"/>
    <w:rsid w:val="001622F4"/>
    <w:rsid w:val="00162CC6"/>
    <w:rsid w:val="00163604"/>
    <w:rsid w:val="001643B3"/>
    <w:rsid w:val="00164469"/>
    <w:rsid w:val="00164C67"/>
    <w:rsid w:val="00165806"/>
    <w:rsid w:val="00166865"/>
    <w:rsid w:val="001679A7"/>
    <w:rsid w:val="00170BD6"/>
    <w:rsid w:val="001710E1"/>
    <w:rsid w:val="00172372"/>
    <w:rsid w:val="00172896"/>
    <w:rsid w:val="0017304A"/>
    <w:rsid w:val="00173C36"/>
    <w:rsid w:val="00173F68"/>
    <w:rsid w:val="00174168"/>
    <w:rsid w:val="00174B1F"/>
    <w:rsid w:val="00174D77"/>
    <w:rsid w:val="00174E4F"/>
    <w:rsid w:val="00175246"/>
    <w:rsid w:val="00175520"/>
    <w:rsid w:val="00176201"/>
    <w:rsid w:val="001765F1"/>
    <w:rsid w:val="00177012"/>
    <w:rsid w:val="00180122"/>
    <w:rsid w:val="001807A5"/>
    <w:rsid w:val="00180FB4"/>
    <w:rsid w:val="00180FE4"/>
    <w:rsid w:val="001815B7"/>
    <w:rsid w:val="00181D54"/>
    <w:rsid w:val="00181FF8"/>
    <w:rsid w:val="00182136"/>
    <w:rsid w:val="00183475"/>
    <w:rsid w:val="001835BA"/>
    <w:rsid w:val="0018361E"/>
    <w:rsid w:val="00183B55"/>
    <w:rsid w:val="00184173"/>
    <w:rsid w:val="00184EFF"/>
    <w:rsid w:val="001854DF"/>
    <w:rsid w:val="0018573B"/>
    <w:rsid w:val="00186025"/>
    <w:rsid w:val="00186A97"/>
    <w:rsid w:val="0018718B"/>
    <w:rsid w:val="00187220"/>
    <w:rsid w:val="00187248"/>
    <w:rsid w:val="00187F65"/>
    <w:rsid w:val="001904FC"/>
    <w:rsid w:val="00190AFC"/>
    <w:rsid w:val="001918FD"/>
    <w:rsid w:val="00191AF7"/>
    <w:rsid w:val="001927B7"/>
    <w:rsid w:val="0019299B"/>
    <w:rsid w:val="001929B1"/>
    <w:rsid w:val="001930BF"/>
    <w:rsid w:val="00193902"/>
    <w:rsid w:val="00194247"/>
    <w:rsid w:val="00194414"/>
    <w:rsid w:val="001952DE"/>
    <w:rsid w:val="00195665"/>
    <w:rsid w:val="00195C5D"/>
    <w:rsid w:val="0019612C"/>
    <w:rsid w:val="00196363"/>
    <w:rsid w:val="00196FA1"/>
    <w:rsid w:val="00197C51"/>
    <w:rsid w:val="001A004D"/>
    <w:rsid w:val="001A04AB"/>
    <w:rsid w:val="001A0ABF"/>
    <w:rsid w:val="001A0DE6"/>
    <w:rsid w:val="001A1802"/>
    <w:rsid w:val="001A1BDD"/>
    <w:rsid w:val="001A26BB"/>
    <w:rsid w:val="001A3196"/>
    <w:rsid w:val="001A441D"/>
    <w:rsid w:val="001A5F6E"/>
    <w:rsid w:val="001A6854"/>
    <w:rsid w:val="001A7294"/>
    <w:rsid w:val="001A73D7"/>
    <w:rsid w:val="001B02EB"/>
    <w:rsid w:val="001B0C82"/>
    <w:rsid w:val="001B1F2B"/>
    <w:rsid w:val="001B20EF"/>
    <w:rsid w:val="001B21B6"/>
    <w:rsid w:val="001B28E2"/>
    <w:rsid w:val="001B3002"/>
    <w:rsid w:val="001B43E3"/>
    <w:rsid w:val="001B6D40"/>
    <w:rsid w:val="001B7F97"/>
    <w:rsid w:val="001C22DC"/>
    <w:rsid w:val="001C2CA2"/>
    <w:rsid w:val="001C3391"/>
    <w:rsid w:val="001C3C2B"/>
    <w:rsid w:val="001C3C37"/>
    <w:rsid w:val="001C4054"/>
    <w:rsid w:val="001C593B"/>
    <w:rsid w:val="001C5D53"/>
    <w:rsid w:val="001C5E2F"/>
    <w:rsid w:val="001C6FD2"/>
    <w:rsid w:val="001C7ACB"/>
    <w:rsid w:val="001C7BEE"/>
    <w:rsid w:val="001C7E3F"/>
    <w:rsid w:val="001C7FBF"/>
    <w:rsid w:val="001D01B6"/>
    <w:rsid w:val="001D057C"/>
    <w:rsid w:val="001D0BE2"/>
    <w:rsid w:val="001D10F8"/>
    <w:rsid w:val="001D17AD"/>
    <w:rsid w:val="001D1BD2"/>
    <w:rsid w:val="001D21C7"/>
    <w:rsid w:val="001D396F"/>
    <w:rsid w:val="001D432B"/>
    <w:rsid w:val="001D43E1"/>
    <w:rsid w:val="001D603D"/>
    <w:rsid w:val="001D720C"/>
    <w:rsid w:val="001D778E"/>
    <w:rsid w:val="001E05F2"/>
    <w:rsid w:val="001E09A3"/>
    <w:rsid w:val="001E0AD2"/>
    <w:rsid w:val="001E17B8"/>
    <w:rsid w:val="001E218B"/>
    <w:rsid w:val="001E2669"/>
    <w:rsid w:val="001E2696"/>
    <w:rsid w:val="001E2FE5"/>
    <w:rsid w:val="001E349C"/>
    <w:rsid w:val="001E3C95"/>
    <w:rsid w:val="001E3ED0"/>
    <w:rsid w:val="001E4C7D"/>
    <w:rsid w:val="001E5C37"/>
    <w:rsid w:val="001E5DE6"/>
    <w:rsid w:val="001E6074"/>
    <w:rsid w:val="001E621A"/>
    <w:rsid w:val="001F0F03"/>
    <w:rsid w:val="001F170F"/>
    <w:rsid w:val="001F1B76"/>
    <w:rsid w:val="001F2483"/>
    <w:rsid w:val="001F2F0A"/>
    <w:rsid w:val="001F39AA"/>
    <w:rsid w:val="001F4138"/>
    <w:rsid w:val="001F4879"/>
    <w:rsid w:val="001F4B8E"/>
    <w:rsid w:val="001F4F88"/>
    <w:rsid w:val="001F58F9"/>
    <w:rsid w:val="001F5B34"/>
    <w:rsid w:val="001F6575"/>
    <w:rsid w:val="001F667A"/>
    <w:rsid w:val="001F7A78"/>
    <w:rsid w:val="0020014C"/>
    <w:rsid w:val="002015C2"/>
    <w:rsid w:val="002020AE"/>
    <w:rsid w:val="00203434"/>
    <w:rsid w:val="002044D7"/>
    <w:rsid w:val="00204AA0"/>
    <w:rsid w:val="002051C3"/>
    <w:rsid w:val="0020572D"/>
    <w:rsid w:val="0020656F"/>
    <w:rsid w:val="00206E10"/>
    <w:rsid w:val="0020742F"/>
    <w:rsid w:val="00210084"/>
    <w:rsid w:val="002105DD"/>
    <w:rsid w:val="00211020"/>
    <w:rsid w:val="002112B7"/>
    <w:rsid w:val="002119D0"/>
    <w:rsid w:val="002125BA"/>
    <w:rsid w:val="00213793"/>
    <w:rsid w:val="0021431B"/>
    <w:rsid w:val="00214A16"/>
    <w:rsid w:val="0021531E"/>
    <w:rsid w:val="0021586F"/>
    <w:rsid w:val="00215996"/>
    <w:rsid w:val="00215B4C"/>
    <w:rsid w:val="00215DEC"/>
    <w:rsid w:val="00215F06"/>
    <w:rsid w:val="00216A80"/>
    <w:rsid w:val="00217AF1"/>
    <w:rsid w:val="00217E22"/>
    <w:rsid w:val="0022083B"/>
    <w:rsid w:val="00220D8D"/>
    <w:rsid w:val="002212BC"/>
    <w:rsid w:val="002216B3"/>
    <w:rsid w:val="00221B1A"/>
    <w:rsid w:val="00222AF2"/>
    <w:rsid w:val="00224198"/>
    <w:rsid w:val="0022442C"/>
    <w:rsid w:val="002245DE"/>
    <w:rsid w:val="0022526B"/>
    <w:rsid w:val="00225956"/>
    <w:rsid w:val="00225BAD"/>
    <w:rsid w:val="0022685C"/>
    <w:rsid w:val="00226DB0"/>
    <w:rsid w:val="00227BF3"/>
    <w:rsid w:val="00227C9E"/>
    <w:rsid w:val="002302F1"/>
    <w:rsid w:val="00231399"/>
    <w:rsid w:val="002314BF"/>
    <w:rsid w:val="0023190B"/>
    <w:rsid w:val="00232003"/>
    <w:rsid w:val="0023211A"/>
    <w:rsid w:val="00232CF4"/>
    <w:rsid w:val="0023346D"/>
    <w:rsid w:val="00233F44"/>
    <w:rsid w:val="002341EF"/>
    <w:rsid w:val="00237E00"/>
    <w:rsid w:val="00240016"/>
    <w:rsid w:val="0024019F"/>
    <w:rsid w:val="00241C77"/>
    <w:rsid w:val="002431CE"/>
    <w:rsid w:val="00243487"/>
    <w:rsid w:val="00244D2C"/>
    <w:rsid w:val="002469D3"/>
    <w:rsid w:val="00246DD3"/>
    <w:rsid w:val="002470C9"/>
    <w:rsid w:val="0024752B"/>
    <w:rsid w:val="00247671"/>
    <w:rsid w:val="00247888"/>
    <w:rsid w:val="002506CB"/>
    <w:rsid w:val="00250932"/>
    <w:rsid w:val="0025097C"/>
    <w:rsid w:val="0025179A"/>
    <w:rsid w:val="00251B9F"/>
    <w:rsid w:val="00253378"/>
    <w:rsid w:val="00253BA7"/>
    <w:rsid w:val="00253D2E"/>
    <w:rsid w:val="00254133"/>
    <w:rsid w:val="00254371"/>
    <w:rsid w:val="00255971"/>
    <w:rsid w:val="00255A78"/>
    <w:rsid w:val="00255E9A"/>
    <w:rsid w:val="00255F9B"/>
    <w:rsid w:val="00256C6A"/>
    <w:rsid w:val="00256E58"/>
    <w:rsid w:val="0025762A"/>
    <w:rsid w:val="00260BE8"/>
    <w:rsid w:val="002617F1"/>
    <w:rsid w:val="00262700"/>
    <w:rsid w:val="00262A61"/>
    <w:rsid w:val="002630CB"/>
    <w:rsid w:val="002639F4"/>
    <w:rsid w:val="00263C64"/>
    <w:rsid w:val="002641A7"/>
    <w:rsid w:val="00264929"/>
    <w:rsid w:val="00264ADF"/>
    <w:rsid w:val="002661C4"/>
    <w:rsid w:val="00266A3B"/>
    <w:rsid w:val="002677E1"/>
    <w:rsid w:val="00267907"/>
    <w:rsid w:val="002709B8"/>
    <w:rsid w:val="00270DE6"/>
    <w:rsid w:val="00271C37"/>
    <w:rsid w:val="00271CED"/>
    <w:rsid w:val="00271E9B"/>
    <w:rsid w:val="0027444B"/>
    <w:rsid w:val="00275249"/>
    <w:rsid w:val="002754BC"/>
    <w:rsid w:val="00276127"/>
    <w:rsid w:val="00277A4F"/>
    <w:rsid w:val="0028193A"/>
    <w:rsid w:val="0028247B"/>
    <w:rsid w:val="00282EB3"/>
    <w:rsid w:val="00284286"/>
    <w:rsid w:val="002844D0"/>
    <w:rsid w:val="0028468B"/>
    <w:rsid w:val="002849B2"/>
    <w:rsid w:val="0028566C"/>
    <w:rsid w:val="00285BAA"/>
    <w:rsid w:val="00286303"/>
    <w:rsid w:val="0028766B"/>
    <w:rsid w:val="00287F7E"/>
    <w:rsid w:val="002906A1"/>
    <w:rsid w:val="002911F1"/>
    <w:rsid w:val="002920AC"/>
    <w:rsid w:val="00292114"/>
    <w:rsid w:val="0029239D"/>
    <w:rsid w:val="0029304F"/>
    <w:rsid w:val="002935C9"/>
    <w:rsid w:val="0029374F"/>
    <w:rsid w:val="00294240"/>
    <w:rsid w:val="00294EE4"/>
    <w:rsid w:val="00294FD1"/>
    <w:rsid w:val="002955DD"/>
    <w:rsid w:val="00295906"/>
    <w:rsid w:val="0029638C"/>
    <w:rsid w:val="002973A9"/>
    <w:rsid w:val="00297553"/>
    <w:rsid w:val="0029779F"/>
    <w:rsid w:val="00297E39"/>
    <w:rsid w:val="002A000B"/>
    <w:rsid w:val="002A067D"/>
    <w:rsid w:val="002A0781"/>
    <w:rsid w:val="002A2001"/>
    <w:rsid w:val="002A30ED"/>
    <w:rsid w:val="002A32EE"/>
    <w:rsid w:val="002A3A32"/>
    <w:rsid w:val="002A3CC7"/>
    <w:rsid w:val="002A444E"/>
    <w:rsid w:val="002A48CE"/>
    <w:rsid w:val="002A562E"/>
    <w:rsid w:val="002A63EC"/>
    <w:rsid w:val="002A64A1"/>
    <w:rsid w:val="002A6F1C"/>
    <w:rsid w:val="002A746F"/>
    <w:rsid w:val="002A7EC5"/>
    <w:rsid w:val="002B014B"/>
    <w:rsid w:val="002B1030"/>
    <w:rsid w:val="002B1319"/>
    <w:rsid w:val="002B15DD"/>
    <w:rsid w:val="002B2073"/>
    <w:rsid w:val="002B2F6E"/>
    <w:rsid w:val="002B3A31"/>
    <w:rsid w:val="002B3B4C"/>
    <w:rsid w:val="002B554B"/>
    <w:rsid w:val="002B5AD9"/>
    <w:rsid w:val="002B5E4E"/>
    <w:rsid w:val="002C06AA"/>
    <w:rsid w:val="002C0F04"/>
    <w:rsid w:val="002C0FC6"/>
    <w:rsid w:val="002C24AC"/>
    <w:rsid w:val="002C25A4"/>
    <w:rsid w:val="002C2ADE"/>
    <w:rsid w:val="002C2BE6"/>
    <w:rsid w:val="002C35A8"/>
    <w:rsid w:val="002C4B1B"/>
    <w:rsid w:val="002C52BE"/>
    <w:rsid w:val="002C631F"/>
    <w:rsid w:val="002C7BF6"/>
    <w:rsid w:val="002C7EC6"/>
    <w:rsid w:val="002C7F0F"/>
    <w:rsid w:val="002D0BF7"/>
    <w:rsid w:val="002D0C1F"/>
    <w:rsid w:val="002D10AC"/>
    <w:rsid w:val="002D27F9"/>
    <w:rsid w:val="002D3A70"/>
    <w:rsid w:val="002D3C20"/>
    <w:rsid w:val="002D3F4C"/>
    <w:rsid w:val="002D42A8"/>
    <w:rsid w:val="002D42C1"/>
    <w:rsid w:val="002D67E1"/>
    <w:rsid w:val="002E0895"/>
    <w:rsid w:val="002E0BEE"/>
    <w:rsid w:val="002E1356"/>
    <w:rsid w:val="002E2866"/>
    <w:rsid w:val="002E46B1"/>
    <w:rsid w:val="002E4AC3"/>
    <w:rsid w:val="002E5036"/>
    <w:rsid w:val="002E5544"/>
    <w:rsid w:val="002E5566"/>
    <w:rsid w:val="002E583E"/>
    <w:rsid w:val="002E5CDF"/>
    <w:rsid w:val="002E5CF1"/>
    <w:rsid w:val="002E626A"/>
    <w:rsid w:val="002E6B1E"/>
    <w:rsid w:val="002E785A"/>
    <w:rsid w:val="002E79A6"/>
    <w:rsid w:val="002E7F59"/>
    <w:rsid w:val="002F0888"/>
    <w:rsid w:val="002F0AF1"/>
    <w:rsid w:val="002F1BAF"/>
    <w:rsid w:val="002F208A"/>
    <w:rsid w:val="002F23CB"/>
    <w:rsid w:val="002F34C6"/>
    <w:rsid w:val="002F4897"/>
    <w:rsid w:val="002F5541"/>
    <w:rsid w:val="002F5AA8"/>
    <w:rsid w:val="002F703E"/>
    <w:rsid w:val="002F7382"/>
    <w:rsid w:val="002F761C"/>
    <w:rsid w:val="002F7F02"/>
    <w:rsid w:val="002F7F78"/>
    <w:rsid w:val="003021D0"/>
    <w:rsid w:val="00302978"/>
    <w:rsid w:val="00302D70"/>
    <w:rsid w:val="00302F1C"/>
    <w:rsid w:val="003038CD"/>
    <w:rsid w:val="00304C38"/>
    <w:rsid w:val="00305014"/>
    <w:rsid w:val="0030582A"/>
    <w:rsid w:val="00306D54"/>
    <w:rsid w:val="00307700"/>
    <w:rsid w:val="00310A9F"/>
    <w:rsid w:val="00310C57"/>
    <w:rsid w:val="00310EA0"/>
    <w:rsid w:val="003115A9"/>
    <w:rsid w:val="00311C00"/>
    <w:rsid w:val="00312F7D"/>
    <w:rsid w:val="00313368"/>
    <w:rsid w:val="0031419F"/>
    <w:rsid w:val="0031443E"/>
    <w:rsid w:val="0031468B"/>
    <w:rsid w:val="00314ECF"/>
    <w:rsid w:val="00315150"/>
    <w:rsid w:val="003155B0"/>
    <w:rsid w:val="003158D5"/>
    <w:rsid w:val="003163A4"/>
    <w:rsid w:val="003166ED"/>
    <w:rsid w:val="003176C0"/>
    <w:rsid w:val="00317AB3"/>
    <w:rsid w:val="00317D82"/>
    <w:rsid w:val="00320B47"/>
    <w:rsid w:val="003210C6"/>
    <w:rsid w:val="00322349"/>
    <w:rsid w:val="003235C5"/>
    <w:rsid w:val="0032470E"/>
    <w:rsid w:val="00324769"/>
    <w:rsid w:val="00325C52"/>
    <w:rsid w:val="00326D27"/>
    <w:rsid w:val="00330752"/>
    <w:rsid w:val="00330CE0"/>
    <w:rsid w:val="00330D30"/>
    <w:rsid w:val="00330D9E"/>
    <w:rsid w:val="003313D1"/>
    <w:rsid w:val="00332545"/>
    <w:rsid w:val="003329AD"/>
    <w:rsid w:val="0033355F"/>
    <w:rsid w:val="00333691"/>
    <w:rsid w:val="003338F9"/>
    <w:rsid w:val="00334118"/>
    <w:rsid w:val="003341E5"/>
    <w:rsid w:val="00334450"/>
    <w:rsid w:val="003344FC"/>
    <w:rsid w:val="003345E1"/>
    <w:rsid w:val="00334B6A"/>
    <w:rsid w:val="0033600D"/>
    <w:rsid w:val="00336732"/>
    <w:rsid w:val="003369FE"/>
    <w:rsid w:val="003378A2"/>
    <w:rsid w:val="00337EC9"/>
    <w:rsid w:val="00341219"/>
    <w:rsid w:val="00341B28"/>
    <w:rsid w:val="00341F54"/>
    <w:rsid w:val="0034229E"/>
    <w:rsid w:val="003429A1"/>
    <w:rsid w:val="00343CF0"/>
    <w:rsid w:val="00343D08"/>
    <w:rsid w:val="00344077"/>
    <w:rsid w:val="0034481B"/>
    <w:rsid w:val="00345B92"/>
    <w:rsid w:val="00345FAA"/>
    <w:rsid w:val="00346F0B"/>
    <w:rsid w:val="0034725C"/>
    <w:rsid w:val="0034769F"/>
    <w:rsid w:val="003479EB"/>
    <w:rsid w:val="003501E4"/>
    <w:rsid w:val="003509DA"/>
    <w:rsid w:val="00350E1C"/>
    <w:rsid w:val="00351997"/>
    <w:rsid w:val="00351DD1"/>
    <w:rsid w:val="0035209A"/>
    <w:rsid w:val="0035253A"/>
    <w:rsid w:val="003529B2"/>
    <w:rsid w:val="003530A1"/>
    <w:rsid w:val="003530BC"/>
    <w:rsid w:val="003539ED"/>
    <w:rsid w:val="003540E3"/>
    <w:rsid w:val="0035461E"/>
    <w:rsid w:val="00354E2F"/>
    <w:rsid w:val="00354FD5"/>
    <w:rsid w:val="00357E51"/>
    <w:rsid w:val="00360641"/>
    <w:rsid w:val="003614A8"/>
    <w:rsid w:val="00363524"/>
    <w:rsid w:val="00363E4C"/>
    <w:rsid w:val="00364D72"/>
    <w:rsid w:val="00364E03"/>
    <w:rsid w:val="00365439"/>
    <w:rsid w:val="0036705C"/>
    <w:rsid w:val="00367598"/>
    <w:rsid w:val="00367BBA"/>
    <w:rsid w:val="0037259E"/>
    <w:rsid w:val="00373E08"/>
    <w:rsid w:val="003740B8"/>
    <w:rsid w:val="003746FB"/>
    <w:rsid w:val="0037492A"/>
    <w:rsid w:val="00374A07"/>
    <w:rsid w:val="00375232"/>
    <w:rsid w:val="00375EA1"/>
    <w:rsid w:val="003772E5"/>
    <w:rsid w:val="003775AF"/>
    <w:rsid w:val="003814CE"/>
    <w:rsid w:val="00381549"/>
    <w:rsid w:val="0038274C"/>
    <w:rsid w:val="00384B8B"/>
    <w:rsid w:val="00385893"/>
    <w:rsid w:val="00385B71"/>
    <w:rsid w:val="00386283"/>
    <w:rsid w:val="0038780D"/>
    <w:rsid w:val="00387B6A"/>
    <w:rsid w:val="00387EF5"/>
    <w:rsid w:val="00390031"/>
    <w:rsid w:val="00390587"/>
    <w:rsid w:val="00390DE1"/>
    <w:rsid w:val="003924EC"/>
    <w:rsid w:val="0039289D"/>
    <w:rsid w:val="003928DB"/>
    <w:rsid w:val="00392F14"/>
    <w:rsid w:val="003943A6"/>
    <w:rsid w:val="00395E9D"/>
    <w:rsid w:val="00396944"/>
    <w:rsid w:val="003973D3"/>
    <w:rsid w:val="003975A7"/>
    <w:rsid w:val="003A01A5"/>
    <w:rsid w:val="003A04EC"/>
    <w:rsid w:val="003A1F91"/>
    <w:rsid w:val="003A1FD6"/>
    <w:rsid w:val="003A301D"/>
    <w:rsid w:val="003A502F"/>
    <w:rsid w:val="003A5398"/>
    <w:rsid w:val="003A596F"/>
    <w:rsid w:val="003A736B"/>
    <w:rsid w:val="003B11FE"/>
    <w:rsid w:val="003B1761"/>
    <w:rsid w:val="003B1A70"/>
    <w:rsid w:val="003B1C25"/>
    <w:rsid w:val="003B30EF"/>
    <w:rsid w:val="003B3964"/>
    <w:rsid w:val="003B5704"/>
    <w:rsid w:val="003B5B5C"/>
    <w:rsid w:val="003B5D59"/>
    <w:rsid w:val="003B5EC6"/>
    <w:rsid w:val="003B63B3"/>
    <w:rsid w:val="003B6538"/>
    <w:rsid w:val="003B67C1"/>
    <w:rsid w:val="003B6D20"/>
    <w:rsid w:val="003B6F12"/>
    <w:rsid w:val="003B7B5A"/>
    <w:rsid w:val="003B7D6C"/>
    <w:rsid w:val="003C0F4F"/>
    <w:rsid w:val="003C3C1D"/>
    <w:rsid w:val="003C41A0"/>
    <w:rsid w:val="003C424E"/>
    <w:rsid w:val="003C4897"/>
    <w:rsid w:val="003C4A20"/>
    <w:rsid w:val="003C4D79"/>
    <w:rsid w:val="003C51AE"/>
    <w:rsid w:val="003C54C0"/>
    <w:rsid w:val="003C5824"/>
    <w:rsid w:val="003C7160"/>
    <w:rsid w:val="003D169F"/>
    <w:rsid w:val="003D2589"/>
    <w:rsid w:val="003D2A7D"/>
    <w:rsid w:val="003D396D"/>
    <w:rsid w:val="003D3AFE"/>
    <w:rsid w:val="003D3C41"/>
    <w:rsid w:val="003D4319"/>
    <w:rsid w:val="003D47BD"/>
    <w:rsid w:val="003D5E64"/>
    <w:rsid w:val="003D66C7"/>
    <w:rsid w:val="003D6FDA"/>
    <w:rsid w:val="003D72E0"/>
    <w:rsid w:val="003D744A"/>
    <w:rsid w:val="003E06C0"/>
    <w:rsid w:val="003E086B"/>
    <w:rsid w:val="003E093A"/>
    <w:rsid w:val="003E0F1E"/>
    <w:rsid w:val="003E14F9"/>
    <w:rsid w:val="003E2510"/>
    <w:rsid w:val="003E3004"/>
    <w:rsid w:val="003E38AD"/>
    <w:rsid w:val="003E44B4"/>
    <w:rsid w:val="003E4A4E"/>
    <w:rsid w:val="003E6415"/>
    <w:rsid w:val="003E6D07"/>
    <w:rsid w:val="003E6D4D"/>
    <w:rsid w:val="003E6ED7"/>
    <w:rsid w:val="003E78BF"/>
    <w:rsid w:val="003F05D2"/>
    <w:rsid w:val="003F2B5A"/>
    <w:rsid w:val="003F2E86"/>
    <w:rsid w:val="003F2FED"/>
    <w:rsid w:val="003F342B"/>
    <w:rsid w:val="003F420C"/>
    <w:rsid w:val="003F47D2"/>
    <w:rsid w:val="003F4FC8"/>
    <w:rsid w:val="003F541B"/>
    <w:rsid w:val="003F65F2"/>
    <w:rsid w:val="003F6A8A"/>
    <w:rsid w:val="003F70F3"/>
    <w:rsid w:val="003F711E"/>
    <w:rsid w:val="003F751E"/>
    <w:rsid w:val="003F7BBD"/>
    <w:rsid w:val="004001EB"/>
    <w:rsid w:val="00400B4E"/>
    <w:rsid w:val="00400B5D"/>
    <w:rsid w:val="0040115B"/>
    <w:rsid w:val="00401498"/>
    <w:rsid w:val="0040184D"/>
    <w:rsid w:val="004019A8"/>
    <w:rsid w:val="00401DF6"/>
    <w:rsid w:val="00402369"/>
    <w:rsid w:val="00403A86"/>
    <w:rsid w:val="00403C7C"/>
    <w:rsid w:val="0040490C"/>
    <w:rsid w:val="00404CFB"/>
    <w:rsid w:val="00405B32"/>
    <w:rsid w:val="00407700"/>
    <w:rsid w:val="00407ED6"/>
    <w:rsid w:val="004103D7"/>
    <w:rsid w:val="004116FE"/>
    <w:rsid w:val="0041264B"/>
    <w:rsid w:val="00412CAF"/>
    <w:rsid w:val="00412D36"/>
    <w:rsid w:val="00412E91"/>
    <w:rsid w:val="00413498"/>
    <w:rsid w:val="00413C25"/>
    <w:rsid w:val="00415029"/>
    <w:rsid w:val="00415A37"/>
    <w:rsid w:val="0041666A"/>
    <w:rsid w:val="00416A3C"/>
    <w:rsid w:val="004172C6"/>
    <w:rsid w:val="00417888"/>
    <w:rsid w:val="0042059E"/>
    <w:rsid w:val="00420882"/>
    <w:rsid w:val="004210D2"/>
    <w:rsid w:val="004214CC"/>
    <w:rsid w:val="004223B8"/>
    <w:rsid w:val="00422A95"/>
    <w:rsid w:val="00422B4E"/>
    <w:rsid w:val="00422D6A"/>
    <w:rsid w:val="004234C4"/>
    <w:rsid w:val="00424071"/>
    <w:rsid w:val="004242E9"/>
    <w:rsid w:val="00424852"/>
    <w:rsid w:val="004248E9"/>
    <w:rsid w:val="00424D63"/>
    <w:rsid w:val="00424DE6"/>
    <w:rsid w:val="00424F12"/>
    <w:rsid w:val="0042500E"/>
    <w:rsid w:val="00425CA1"/>
    <w:rsid w:val="00425CFE"/>
    <w:rsid w:val="00426522"/>
    <w:rsid w:val="00426610"/>
    <w:rsid w:val="00426AD3"/>
    <w:rsid w:val="00426DC5"/>
    <w:rsid w:val="0042710E"/>
    <w:rsid w:val="0042724F"/>
    <w:rsid w:val="0042790C"/>
    <w:rsid w:val="00427CFD"/>
    <w:rsid w:val="00427F58"/>
    <w:rsid w:val="0043038A"/>
    <w:rsid w:val="00430B7E"/>
    <w:rsid w:val="004317D2"/>
    <w:rsid w:val="0043328B"/>
    <w:rsid w:val="00433850"/>
    <w:rsid w:val="00434008"/>
    <w:rsid w:val="0043465D"/>
    <w:rsid w:val="00434687"/>
    <w:rsid w:val="0043573D"/>
    <w:rsid w:val="00435FED"/>
    <w:rsid w:val="004367FF"/>
    <w:rsid w:val="00436B5F"/>
    <w:rsid w:val="00437D5A"/>
    <w:rsid w:val="00440695"/>
    <w:rsid w:val="00440B31"/>
    <w:rsid w:val="00440E15"/>
    <w:rsid w:val="004413D7"/>
    <w:rsid w:val="004428AB"/>
    <w:rsid w:val="00443475"/>
    <w:rsid w:val="00444430"/>
    <w:rsid w:val="00444504"/>
    <w:rsid w:val="00444D47"/>
    <w:rsid w:val="00445065"/>
    <w:rsid w:val="004450CF"/>
    <w:rsid w:val="004453EA"/>
    <w:rsid w:val="004454E9"/>
    <w:rsid w:val="0044579A"/>
    <w:rsid w:val="00445C06"/>
    <w:rsid w:val="0044645C"/>
    <w:rsid w:val="00447A98"/>
    <w:rsid w:val="00450093"/>
    <w:rsid w:val="0045108F"/>
    <w:rsid w:val="004515AE"/>
    <w:rsid w:val="00451BB9"/>
    <w:rsid w:val="00451C2B"/>
    <w:rsid w:val="00451FE2"/>
    <w:rsid w:val="00452668"/>
    <w:rsid w:val="0045280F"/>
    <w:rsid w:val="00452E33"/>
    <w:rsid w:val="00453C5F"/>
    <w:rsid w:val="00454EAF"/>
    <w:rsid w:val="004553C2"/>
    <w:rsid w:val="004569AE"/>
    <w:rsid w:val="00456D98"/>
    <w:rsid w:val="00456EAB"/>
    <w:rsid w:val="004572B4"/>
    <w:rsid w:val="00457580"/>
    <w:rsid w:val="004576C7"/>
    <w:rsid w:val="00457904"/>
    <w:rsid w:val="00460168"/>
    <w:rsid w:val="00460EC0"/>
    <w:rsid w:val="0046128D"/>
    <w:rsid w:val="004615B3"/>
    <w:rsid w:val="00461B18"/>
    <w:rsid w:val="00463484"/>
    <w:rsid w:val="0046348E"/>
    <w:rsid w:val="00463BF6"/>
    <w:rsid w:val="00465626"/>
    <w:rsid w:val="00465D2C"/>
    <w:rsid w:val="004660BA"/>
    <w:rsid w:val="004669F0"/>
    <w:rsid w:val="00466ACF"/>
    <w:rsid w:val="004671EF"/>
    <w:rsid w:val="00467524"/>
    <w:rsid w:val="00467E2D"/>
    <w:rsid w:val="00467E7B"/>
    <w:rsid w:val="004710E7"/>
    <w:rsid w:val="00471223"/>
    <w:rsid w:val="00471993"/>
    <w:rsid w:val="00471EEA"/>
    <w:rsid w:val="0047384D"/>
    <w:rsid w:val="00473C0F"/>
    <w:rsid w:val="00474048"/>
    <w:rsid w:val="0047409F"/>
    <w:rsid w:val="00474508"/>
    <w:rsid w:val="0047487B"/>
    <w:rsid w:val="00474D14"/>
    <w:rsid w:val="00475713"/>
    <w:rsid w:val="00475D6B"/>
    <w:rsid w:val="00477DDF"/>
    <w:rsid w:val="00480061"/>
    <w:rsid w:val="004804F0"/>
    <w:rsid w:val="00480795"/>
    <w:rsid w:val="00483CEA"/>
    <w:rsid w:val="00484C6F"/>
    <w:rsid w:val="00485105"/>
    <w:rsid w:val="004863AC"/>
    <w:rsid w:val="004864CE"/>
    <w:rsid w:val="00487550"/>
    <w:rsid w:val="0048760B"/>
    <w:rsid w:val="0048770A"/>
    <w:rsid w:val="00487CDC"/>
    <w:rsid w:val="00491064"/>
    <w:rsid w:val="004914B7"/>
    <w:rsid w:val="00491645"/>
    <w:rsid w:val="004918ED"/>
    <w:rsid w:val="00491CD9"/>
    <w:rsid w:val="00494363"/>
    <w:rsid w:val="0049440C"/>
    <w:rsid w:val="004955BA"/>
    <w:rsid w:val="0049592B"/>
    <w:rsid w:val="00495CC2"/>
    <w:rsid w:val="00495EF1"/>
    <w:rsid w:val="00495FFC"/>
    <w:rsid w:val="00496311"/>
    <w:rsid w:val="00496C73"/>
    <w:rsid w:val="00496FEF"/>
    <w:rsid w:val="004973E2"/>
    <w:rsid w:val="004A0EDE"/>
    <w:rsid w:val="004A1741"/>
    <w:rsid w:val="004A2002"/>
    <w:rsid w:val="004A2300"/>
    <w:rsid w:val="004A23F3"/>
    <w:rsid w:val="004A7393"/>
    <w:rsid w:val="004A779B"/>
    <w:rsid w:val="004B0789"/>
    <w:rsid w:val="004B0D07"/>
    <w:rsid w:val="004B1609"/>
    <w:rsid w:val="004B1EF9"/>
    <w:rsid w:val="004B3DE7"/>
    <w:rsid w:val="004B5076"/>
    <w:rsid w:val="004B5909"/>
    <w:rsid w:val="004B5A79"/>
    <w:rsid w:val="004B6030"/>
    <w:rsid w:val="004B672F"/>
    <w:rsid w:val="004B6755"/>
    <w:rsid w:val="004B6B13"/>
    <w:rsid w:val="004B6CE3"/>
    <w:rsid w:val="004B6E9D"/>
    <w:rsid w:val="004B7A2E"/>
    <w:rsid w:val="004C03C1"/>
    <w:rsid w:val="004C04B0"/>
    <w:rsid w:val="004C1059"/>
    <w:rsid w:val="004C150D"/>
    <w:rsid w:val="004C28F9"/>
    <w:rsid w:val="004C292D"/>
    <w:rsid w:val="004C357B"/>
    <w:rsid w:val="004C44A0"/>
    <w:rsid w:val="004C45D3"/>
    <w:rsid w:val="004C489C"/>
    <w:rsid w:val="004C4A14"/>
    <w:rsid w:val="004C56A8"/>
    <w:rsid w:val="004C5D2B"/>
    <w:rsid w:val="004C6BFB"/>
    <w:rsid w:val="004C6CD1"/>
    <w:rsid w:val="004C7685"/>
    <w:rsid w:val="004C7877"/>
    <w:rsid w:val="004D0731"/>
    <w:rsid w:val="004D0DC5"/>
    <w:rsid w:val="004D20CD"/>
    <w:rsid w:val="004D33A2"/>
    <w:rsid w:val="004D350A"/>
    <w:rsid w:val="004D4579"/>
    <w:rsid w:val="004D4C17"/>
    <w:rsid w:val="004D6698"/>
    <w:rsid w:val="004D6D37"/>
    <w:rsid w:val="004D7037"/>
    <w:rsid w:val="004D75AA"/>
    <w:rsid w:val="004D7C66"/>
    <w:rsid w:val="004E019C"/>
    <w:rsid w:val="004E09A2"/>
    <w:rsid w:val="004E0D37"/>
    <w:rsid w:val="004E11AC"/>
    <w:rsid w:val="004E2029"/>
    <w:rsid w:val="004E20EC"/>
    <w:rsid w:val="004E25CA"/>
    <w:rsid w:val="004E37AF"/>
    <w:rsid w:val="004E3913"/>
    <w:rsid w:val="004E42E2"/>
    <w:rsid w:val="004E43DA"/>
    <w:rsid w:val="004E5204"/>
    <w:rsid w:val="004E5D53"/>
    <w:rsid w:val="004E6544"/>
    <w:rsid w:val="004E6854"/>
    <w:rsid w:val="004E6F2A"/>
    <w:rsid w:val="004E7569"/>
    <w:rsid w:val="004E78B9"/>
    <w:rsid w:val="004E7CE1"/>
    <w:rsid w:val="004E7E1A"/>
    <w:rsid w:val="004F2ECD"/>
    <w:rsid w:val="004F3251"/>
    <w:rsid w:val="004F492B"/>
    <w:rsid w:val="004F5A94"/>
    <w:rsid w:val="004F6260"/>
    <w:rsid w:val="004F62E8"/>
    <w:rsid w:val="004F6562"/>
    <w:rsid w:val="004F6B80"/>
    <w:rsid w:val="004F78C0"/>
    <w:rsid w:val="004F7A06"/>
    <w:rsid w:val="0050028D"/>
    <w:rsid w:val="00500884"/>
    <w:rsid w:val="00500D58"/>
    <w:rsid w:val="00500F04"/>
    <w:rsid w:val="00501195"/>
    <w:rsid w:val="0050166C"/>
    <w:rsid w:val="005018FF"/>
    <w:rsid w:val="00502DF5"/>
    <w:rsid w:val="005031CA"/>
    <w:rsid w:val="00503D9F"/>
    <w:rsid w:val="00503DCB"/>
    <w:rsid w:val="005042B2"/>
    <w:rsid w:val="00504785"/>
    <w:rsid w:val="00505FFD"/>
    <w:rsid w:val="00506430"/>
    <w:rsid w:val="00506E3D"/>
    <w:rsid w:val="00506F65"/>
    <w:rsid w:val="005071B5"/>
    <w:rsid w:val="00507536"/>
    <w:rsid w:val="005108D5"/>
    <w:rsid w:val="005112CD"/>
    <w:rsid w:val="005113A4"/>
    <w:rsid w:val="005116BA"/>
    <w:rsid w:val="005119BA"/>
    <w:rsid w:val="00512047"/>
    <w:rsid w:val="005126EA"/>
    <w:rsid w:val="00513CA8"/>
    <w:rsid w:val="005142AD"/>
    <w:rsid w:val="0051457D"/>
    <w:rsid w:val="00514A5B"/>
    <w:rsid w:val="0051512B"/>
    <w:rsid w:val="00515440"/>
    <w:rsid w:val="005155B5"/>
    <w:rsid w:val="0051631C"/>
    <w:rsid w:val="005175B2"/>
    <w:rsid w:val="0052025B"/>
    <w:rsid w:val="00520D3C"/>
    <w:rsid w:val="00521311"/>
    <w:rsid w:val="005223A4"/>
    <w:rsid w:val="0052262B"/>
    <w:rsid w:val="0052272D"/>
    <w:rsid w:val="00522E0F"/>
    <w:rsid w:val="00522F82"/>
    <w:rsid w:val="005236EE"/>
    <w:rsid w:val="00524328"/>
    <w:rsid w:val="00524513"/>
    <w:rsid w:val="00525319"/>
    <w:rsid w:val="0052598A"/>
    <w:rsid w:val="00525F64"/>
    <w:rsid w:val="00526852"/>
    <w:rsid w:val="005269F5"/>
    <w:rsid w:val="0052775F"/>
    <w:rsid w:val="00527DF5"/>
    <w:rsid w:val="005307B2"/>
    <w:rsid w:val="00530D26"/>
    <w:rsid w:val="005310BB"/>
    <w:rsid w:val="005322EB"/>
    <w:rsid w:val="00532A3F"/>
    <w:rsid w:val="00532C8B"/>
    <w:rsid w:val="00533057"/>
    <w:rsid w:val="005336CC"/>
    <w:rsid w:val="005339B8"/>
    <w:rsid w:val="005343A9"/>
    <w:rsid w:val="00535B60"/>
    <w:rsid w:val="00536250"/>
    <w:rsid w:val="00537303"/>
    <w:rsid w:val="00537DB1"/>
    <w:rsid w:val="0054001D"/>
    <w:rsid w:val="005400B9"/>
    <w:rsid w:val="00540B64"/>
    <w:rsid w:val="0054103D"/>
    <w:rsid w:val="005413C8"/>
    <w:rsid w:val="00541C0C"/>
    <w:rsid w:val="00541EEA"/>
    <w:rsid w:val="0054312A"/>
    <w:rsid w:val="005438B3"/>
    <w:rsid w:val="00543B19"/>
    <w:rsid w:val="00544AE8"/>
    <w:rsid w:val="00544B2F"/>
    <w:rsid w:val="00544CD4"/>
    <w:rsid w:val="005457F2"/>
    <w:rsid w:val="00545EC5"/>
    <w:rsid w:val="0054671D"/>
    <w:rsid w:val="005468DC"/>
    <w:rsid w:val="00547CE4"/>
    <w:rsid w:val="00550326"/>
    <w:rsid w:val="005508A9"/>
    <w:rsid w:val="00550AC7"/>
    <w:rsid w:val="00550B57"/>
    <w:rsid w:val="00550CD6"/>
    <w:rsid w:val="00550D98"/>
    <w:rsid w:val="00551702"/>
    <w:rsid w:val="00551A08"/>
    <w:rsid w:val="00551A71"/>
    <w:rsid w:val="00552AE4"/>
    <w:rsid w:val="00554736"/>
    <w:rsid w:val="005552FD"/>
    <w:rsid w:val="00555576"/>
    <w:rsid w:val="00555D34"/>
    <w:rsid w:val="00556094"/>
    <w:rsid w:val="00556621"/>
    <w:rsid w:val="00556684"/>
    <w:rsid w:val="005566FD"/>
    <w:rsid w:val="00556E17"/>
    <w:rsid w:val="0055720D"/>
    <w:rsid w:val="005572E3"/>
    <w:rsid w:val="00557BDC"/>
    <w:rsid w:val="00557EF2"/>
    <w:rsid w:val="00560291"/>
    <w:rsid w:val="0056045F"/>
    <w:rsid w:val="0056095A"/>
    <w:rsid w:val="00560D39"/>
    <w:rsid w:val="00560E8B"/>
    <w:rsid w:val="00561818"/>
    <w:rsid w:val="00561F52"/>
    <w:rsid w:val="005627B2"/>
    <w:rsid w:val="00562F65"/>
    <w:rsid w:val="005630C4"/>
    <w:rsid w:val="005631A0"/>
    <w:rsid w:val="0056323D"/>
    <w:rsid w:val="00563725"/>
    <w:rsid w:val="00563B5C"/>
    <w:rsid w:val="00564068"/>
    <w:rsid w:val="00564569"/>
    <w:rsid w:val="00564650"/>
    <w:rsid w:val="00565C78"/>
    <w:rsid w:val="00566265"/>
    <w:rsid w:val="00567D61"/>
    <w:rsid w:val="0057007F"/>
    <w:rsid w:val="005701AA"/>
    <w:rsid w:val="00570540"/>
    <w:rsid w:val="0057066C"/>
    <w:rsid w:val="005709A2"/>
    <w:rsid w:val="00570CDA"/>
    <w:rsid w:val="00571C8B"/>
    <w:rsid w:val="00571E29"/>
    <w:rsid w:val="0057224C"/>
    <w:rsid w:val="00572B9E"/>
    <w:rsid w:val="00572CBA"/>
    <w:rsid w:val="00573944"/>
    <w:rsid w:val="0057416C"/>
    <w:rsid w:val="00574596"/>
    <w:rsid w:val="00575313"/>
    <w:rsid w:val="00575ABA"/>
    <w:rsid w:val="005763C8"/>
    <w:rsid w:val="0057714E"/>
    <w:rsid w:val="00577295"/>
    <w:rsid w:val="0057753B"/>
    <w:rsid w:val="0057772C"/>
    <w:rsid w:val="005779C9"/>
    <w:rsid w:val="005801B4"/>
    <w:rsid w:val="00580B4A"/>
    <w:rsid w:val="00580DE2"/>
    <w:rsid w:val="00580F93"/>
    <w:rsid w:val="005815A8"/>
    <w:rsid w:val="005816FB"/>
    <w:rsid w:val="00583524"/>
    <w:rsid w:val="00583C79"/>
    <w:rsid w:val="00584805"/>
    <w:rsid w:val="00584C03"/>
    <w:rsid w:val="0058542A"/>
    <w:rsid w:val="00585496"/>
    <w:rsid w:val="0058577B"/>
    <w:rsid w:val="00585B89"/>
    <w:rsid w:val="00585DC5"/>
    <w:rsid w:val="00586E9E"/>
    <w:rsid w:val="00586F83"/>
    <w:rsid w:val="00587FE4"/>
    <w:rsid w:val="00590221"/>
    <w:rsid w:val="00590835"/>
    <w:rsid w:val="00591B5D"/>
    <w:rsid w:val="00591B7E"/>
    <w:rsid w:val="00591C6F"/>
    <w:rsid w:val="0059229E"/>
    <w:rsid w:val="005922F2"/>
    <w:rsid w:val="00593490"/>
    <w:rsid w:val="00593A12"/>
    <w:rsid w:val="00593AF2"/>
    <w:rsid w:val="00594659"/>
    <w:rsid w:val="0059515B"/>
    <w:rsid w:val="00595DC2"/>
    <w:rsid w:val="00596580"/>
    <w:rsid w:val="00596AEA"/>
    <w:rsid w:val="0059770D"/>
    <w:rsid w:val="005A027A"/>
    <w:rsid w:val="005A1D1B"/>
    <w:rsid w:val="005A2420"/>
    <w:rsid w:val="005A24D1"/>
    <w:rsid w:val="005A25A7"/>
    <w:rsid w:val="005A2E53"/>
    <w:rsid w:val="005A3533"/>
    <w:rsid w:val="005A46CE"/>
    <w:rsid w:val="005A5582"/>
    <w:rsid w:val="005A59D2"/>
    <w:rsid w:val="005A5B2D"/>
    <w:rsid w:val="005A5B83"/>
    <w:rsid w:val="005A6285"/>
    <w:rsid w:val="005A6922"/>
    <w:rsid w:val="005A7487"/>
    <w:rsid w:val="005A7DE1"/>
    <w:rsid w:val="005A7E20"/>
    <w:rsid w:val="005B0002"/>
    <w:rsid w:val="005B1316"/>
    <w:rsid w:val="005B1525"/>
    <w:rsid w:val="005B31F4"/>
    <w:rsid w:val="005B38BD"/>
    <w:rsid w:val="005B41EB"/>
    <w:rsid w:val="005B434C"/>
    <w:rsid w:val="005B5618"/>
    <w:rsid w:val="005B56F7"/>
    <w:rsid w:val="005B73F0"/>
    <w:rsid w:val="005B744E"/>
    <w:rsid w:val="005B783E"/>
    <w:rsid w:val="005B7A46"/>
    <w:rsid w:val="005C1C46"/>
    <w:rsid w:val="005C2E73"/>
    <w:rsid w:val="005C3813"/>
    <w:rsid w:val="005C45DC"/>
    <w:rsid w:val="005C6170"/>
    <w:rsid w:val="005C633C"/>
    <w:rsid w:val="005C6600"/>
    <w:rsid w:val="005C6CB8"/>
    <w:rsid w:val="005C75E6"/>
    <w:rsid w:val="005C7BA9"/>
    <w:rsid w:val="005D0BB4"/>
    <w:rsid w:val="005D0E22"/>
    <w:rsid w:val="005D1138"/>
    <w:rsid w:val="005D149D"/>
    <w:rsid w:val="005D1A6D"/>
    <w:rsid w:val="005D21C4"/>
    <w:rsid w:val="005D25D0"/>
    <w:rsid w:val="005D2DA4"/>
    <w:rsid w:val="005D4560"/>
    <w:rsid w:val="005D4692"/>
    <w:rsid w:val="005D47F8"/>
    <w:rsid w:val="005D497F"/>
    <w:rsid w:val="005D5AA1"/>
    <w:rsid w:val="005D6686"/>
    <w:rsid w:val="005D6A6D"/>
    <w:rsid w:val="005D6F5B"/>
    <w:rsid w:val="005D74A8"/>
    <w:rsid w:val="005D798E"/>
    <w:rsid w:val="005E01D1"/>
    <w:rsid w:val="005E0300"/>
    <w:rsid w:val="005E086F"/>
    <w:rsid w:val="005E1749"/>
    <w:rsid w:val="005E1A27"/>
    <w:rsid w:val="005E1D2B"/>
    <w:rsid w:val="005E1DEF"/>
    <w:rsid w:val="005E2406"/>
    <w:rsid w:val="005E24AF"/>
    <w:rsid w:val="005E2CC8"/>
    <w:rsid w:val="005E2D1A"/>
    <w:rsid w:val="005E34B7"/>
    <w:rsid w:val="005E3631"/>
    <w:rsid w:val="005E3786"/>
    <w:rsid w:val="005E3846"/>
    <w:rsid w:val="005E409B"/>
    <w:rsid w:val="005E495F"/>
    <w:rsid w:val="005E5545"/>
    <w:rsid w:val="005E5865"/>
    <w:rsid w:val="005E5F3A"/>
    <w:rsid w:val="005E7700"/>
    <w:rsid w:val="005E7EB5"/>
    <w:rsid w:val="005F0702"/>
    <w:rsid w:val="005F0833"/>
    <w:rsid w:val="005F12ED"/>
    <w:rsid w:val="005F177D"/>
    <w:rsid w:val="005F1D0E"/>
    <w:rsid w:val="005F1D85"/>
    <w:rsid w:val="005F1E16"/>
    <w:rsid w:val="005F3663"/>
    <w:rsid w:val="005F3AC7"/>
    <w:rsid w:val="005F4084"/>
    <w:rsid w:val="005F4C54"/>
    <w:rsid w:val="005F4D21"/>
    <w:rsid w:val="005F4E17"/>
    <w:rsid w:val="005F533E"/>
    <w:rsid w:val="005F591B"/>
    <w:rsid w:val="005F5B94"/>
    <w:rsid w:val="005F6D0E"/>
    <w:rsid w:val="005F72F6"/>
    <w:rsid w:val="006014A9"/>
    <w:rsid w:val="00601C05"/>
    <w:rsid w:val="00602A48"/>
    <w:rsid w:val="00602ECA"/>
    <w:rsid w:val="00603565"/>
    <w:rsid w:val="00603AA2"/>
    <w:rsid w:val="0060411A"/>
    <w:rsid w:val="00604176"/>
    <w:rsid w:val="0060454B"/>
    <w:rsid w:val="006045E2"/>
    <w:rsid w:val="006049E9"/>
    <w:rsid w:val="00604A44"/>
    <w:rsid w:val="00604AC1"/>
    <w:rsid w:val="00605611"/>
    <w:rsid w:val="0060592A"/>
    <w:rsid w:val="006065B6"/>
    <w:rsid w:val="00606643"/>
    <w:rsid w:val="00607BF8"/>
    <w:rsid w:val="00610520"/>
    <w:rsid w:val="00610FDD"/>
    <w:rsid w:val="00611A27"/>
    <w:rsid w:val="00612DB2"/>
    <w:rsid w:val="0061321B"/>
    <w:rsid w:val="006133A9"/>
    <w:rsid w:val="00613BFF"/>
    <w:rsid w:val="00614501"/>
    <w:rsid w:val="006146D6"/>
    <w:rsid w:val="00615061"/>
    <w:rsid w:val="00615351"/>
    <w:rsid w:val="006156F8"/>
    <w:rsid w:val="00616460"/>
    <w:rsid w:val="00616A91"/>
    <w:rsid w:val="00616B00"/>
    <w:rsid w:val="00616B9F"/>
    <w:rsid w:val="00616D5D"/>
    <w:rsid w:val="00617CE3"/>
    <w:rsid w:val="00620E73"/>
    <w:rsid w:val="00621A2E"/>
    <w:rsid w:val="00622FB7"/>
    <w:rsid w:val="00623AC8"/>
    <w:rsid w:val="00623D18"/>
    <w:rsid w:val="00623FB8"/>
    <w:rsid w:val="006241C5"/>
    <w:rsid w:val="00624CA4"/>
    <w:rsid w:val="00626043"/>
    <w:rsid w:val="006261BD"/>
    <w:rsid w:val="006262E4"/>
    <w:rsid w:val="006271DB"/>
    <w:rsid w:val="006300A4"/>
    <w:rsid w:val="006307FD"/>
    <w:rsid w:val="00630C96"/>
    <w:rsid w:val="00630FB0"/>
    <w:rsid w:val="00632068"/>
    <w:rsid w:val="006325B7"/>
    <w:rsid w:val="006328A0"/>
    <w:rsid w:val="006329B5"/>
    <w:rsid w:val="006332BD"/>
    <w:rsid w:val="00633B28"/>
    <w:rsid w:val="00634393"/>
    <w:rsid w:val="00635192"/>
    <w:rsid w:val="0063729B"/>
    <w:rsid w:val="006372E6"/>
    <w:rsid w:val="00637674"/>
    <w:rsid w:val="00637CF1"/>
    <w:rsid w:val="00641047"/>
    <w:rsid w:val="00641561"/>
    <w:rsid w:val="00641648"/>
    <w:rsid w:val="006418FA"/>
    <w:rsid w:val="0064199A"/>
    <w:rsid w:val="00641DE6"/>
    <w:rsid w:val="006426C8"/>
    <w:rsid w:val="006449FF"/>
    <w:rsid w:val="00644DCE"/>
    <w:rsid w:val="00645F68"/>
    <w:rsid w:val="006466FC"/>
    <w:rsid w:val="0064676C"/>
    <w:rsid w:val="006473A2"/>
    <w:rsid w:val="0064768F"/>
    <w:rsid w:val="00647CEA"/>
    <w:rsid w:val="00647E1D"/>
    <w:rsid w:val="00647E8E"/>
    <w:rsid w:val="00650074"/>
    <w:rsid w:val="0065060F"/>
    <w:rsid w:val="0065074D"/>
    <w:rsid w:val="00650F29"/>
    <w:rsid w:val="00651F51"/>
    <w:rsid w:val="0065222D"/>
    <w:rsid w:val="0065229D"/>
    <w:rsid w:val="0065280A"/>
    <w:rsid w:val="006534A1"/>
    <w:rsid w:val="006537CF"/>
    <w:rsid w:val="00654E08"/>
    <w:rsid w:val="00654ED6"/>
    <w:rsid w:val="0065575B"/>
    <w:rsid w:val="0065630B"/>
    <w:rsid w:val="00656FA7"/>
    <w:rsid w:val="0065705E"/>
    <w:rsid w:val="0066052B"/>
    <w:rsid w:val="00660ADE"/>
    <w:rsid w:val="006622C2"/>
    <w:rsid w:val="006623FB"/>
    <w:rsid w:val="00663228"/>
    <w:rsid w:val="0066329A"/>
    <w:rsid w:val="00663D8F"/>
    <w:rsid w:val="0066469C"/>
    <w:rsid w:val="00665594"/>
    <w:rsid w:val="00665904"/>
    <w:rsid w:val="0066602F"/>
    <w:rsid w:val="00666089"/>
    <w:rsid w:val="00666B0A"/>
    <w:rsid w:val="00666CF4"/>
    <w:rsid w:val="0066746E"/>
    <w:rsid w:val="006679CD"/>
    <w:rsid w:val="0067016D"/>
    <w:rsid w:val="00670814"/>
    <w:rsid w:val="00670D01"/>
    <w:rsid w:val="00671011"/>
    <w:rsid w:val="0067177B"/>
    <w:rsid w:val="006719AB"/>
    <w:rsid w:val="0067251D"/>
    <w:rsid w:val="00672C1D"/>
    <w:rsid w:val="00672DC7"/>
    <w:rsid w:val="00673422"/>
    <w:rsid w:val="006747BB"/>
    <w:rsid w:val="00674B9D"/>
    <w:rsid w:val="006752CA"/>
    <w:rsid w:val="00675707"/>
    <w:rsid w:val="00676045"/>
    <w:rsid w:val="00676358"/>
    <w:rsid w:val="0067639E"/>
    <w:rsid w:val="006765F1"/>
    <w:rsid w:val="00676AC6"/>
    <w:rsid w:val="0067762B"/>
    <w:rsid w:val="00677633"/>
    <w:rsid w:val="00677913"/>
    <w:rsid w:val="00677BCE"/>
    <w:rsid w:val="00677CE5"/>
    <w:rsid w:val="006803FC"/>
    <w:rsid w:val="0068046B"/>
    <w:rsid w:val="00681497"/>
    <w:rsid w:val="0068278F"/>
    <w:rsid w:val="00683A11"/>
    <w:rsid w:val="006846EE"/>
    <w:rsid w:val="00684C96"/>
    <w:rsid w:val="00684DD5"/>
    <w:rsid w:val="006857BC"/>
    <w:rsid w:val="00685862"/>
    <w:rsid w:val="00685E6A"/>
    <w:rsid w:val="00686636"/>
    <w:rsid w:val="00687285"/>
    <w:rsid w:val="00687876"/>
    <w:rsid w:val="006878CB"/>
    <w:rsid w:val="00687E51"/>
    <w:rsid w:val="006903C3"/>
    <w:rsid w:val="006908E8"/>
    <w:rsid w:val="00690B86"/>
    <w:rsid w:val="00690CEF"/>
    <w:rsid w:val="006914FD"/>
    <w:rsid w:val="0069163D"/>
    <w:rsid w:val="00691C0E"/>
    <w:rsid w:val="00691CA0"/>
    <w:rsid w:val="00691DDA"/>
    <w:rsid w:val="0069291B"/>
    <w:rsid w:val="00694100"/>
    <w:rsid w:val="0069423B"/>
    <w:rsid w:val="00696F1E"/>
    <w:rsid w:val="0069712B"/>
    <w:rsid w:val="006A1128"/>
    <w:rsid w:val="006A1849"/>
    <w:rsid w:val="006A2014"/>
    <w:rsid w:val="006A224F"/>
    <w:rsid w:val="006A30EB"/>
    <w:rsid w:val="006A3742"/>
    <w:rsid w:val="006A4F86"/>
    <w:rsid w:val="006A7530"/>
    <w:rsid w:val="006A7BE3"/>
    <w:rsid w:val="006B011C"/>
    <w:rsid w:val="006B037D"/>
    <w:rsid w:val="006B06B8"/>
    <w:rsid w:val="006B0ABC"/>
    <w:rsid w:val="006B0E1E"/>
    <w:rsid w:val="006B1BFE"/>
    <w:rsid w:val="006B1D10"/>
    <w:rsid w:val="006B2B57"/>
    <w:rsid w:val="006B3B51"/>
    <w:rsid w:val="006B3C68"/>
    <w:rsid w:val="006B46E6"/>
    <w:rsid w:val="006B52B6"/>
    <w:rsid w:val="006B55F9"/>
    <w:rsid w:val="006B5681"/>
    <w:rsid w:val="006B5691"/>
    <w:rsid w:val="006B56E1"/>
    <w:rsid w:val="006B5ADB"/>
    <w:rsid w:val="006B5B66"/>
    <w:rsid w:val="006B5BB2"/>
    <w:rsid w:val="006B5D9E"/>
    <w:rsid w:val="006B5E39"/>
    <w:rsid w:val="006B733D"/>
    <w:rsid w:val="006B7347"/>
    <w:rsid w:val="006C01EE"/>
    <w:rsid w:val="006C16A3"/>
    <w:rsid w:val="006C16D6"/>
    <w:rsid w:val="006C2841"/>
    <w:rsid w:val="006C2C68"/>
    <w:rsid w:val="006C2FC9"/>
    <w:rsid w:val="006C3130"/>
    <w:rsid w:val="006C3F1D"/>
    <w:rsid w:val="006C43A6"/>
    <w:rsid w:val="006C4838"/>
    <w:rsid w:val="006C5A89"/>
    <w:rsid w:val="006C6EDF"/>
    <w:rsid w:val="006C7282"/>
    <w:rsid w:val="006D0070"/>
    <w:rsid w:val="006D0782"/>
    <w:rsid w:val="006D0EEB"/>
    <w:rsid w:val="006D1938"/>
    <w:rsid w:val="006D1C1A"/>
    <w:rsid w:val="006D26B0"/>
    <w:rsid w:val="006D3824"/>
    <w:rsid w:val="006D4791"/>
    <w:rsid w:val="006D4A73"/>
    <w:rsid w:val="006D4E8A"/>
    <w:rsid w:val="006D54AE"/>
    <w:rsid w:val="006D73F2"/>
    <w:rsid w:val="006D7670"/>
    <w:rsid w:val="006D795B"/>
    <w:rsid w:val="006E0308"/>
    <w:rsid w:val="006E040E"/>
    <w:rsid w:val="006E06E5"/>
    <w:rsid w:val="006E1391"/>
    <w:rsid w:val="006E13B9"/>
    <w:rsid w:val="006E22DC"/>
    <w:rsid w:val="006E2E30"/>
    <w:rsid w:val="006E2F9C"/>
    <w:rsid w:val="006E3984"/>
    <w:rsid w:val="006E3F36"/>
    <w:rsid w:val="006E489D"/>
    <w:rsid w:val="006E4D54"/>
    <w:rsid w:val="006E529E"/>
    <w:rsid w:val="006E5C4F"/>
    <w:rsid w:val="006E5F1D"/>
    <w:rsid w:val="006E7F86"/>
    <w:rsid w:val="006F049E"/>
    <w:rsid w:val="006F1B3B"/>
    <w:rsid w:val="006F2232"/>
    <w:rsid w:val="006F230F"/>
    <w:rsid w:val="006F354A"/>
    <w:rsid w:val="006F44FE"/>
    <w:rsid w:val="006F4A6B"/>
    <w:rsid w:val="006F4F03"/>
    <w:rsid w:val="006F5419"/>
    <w:rsid w:val="006F5B75"/>
    <w:rsid w:val="006F5F9A"/>
    <w:rsid w:val="006F6648"/>
    <w:rsid w:val="006F690F"/>
    <w:rsid w:val="00700274"/>
    <w:rsid w:val="007005A4"/>
    <w:rsid w:val="00700673"/>
    <w:rsid w:val="00700686"/>
    <w:rsid w:val="0070072B"/>
    <w:rsid w:val="00701145"/>
    <w:rsid w:val="00701E4B"/>
    <w:rsid w:val="00702000"/>
    <w:rsid w:val="00703540"/>
    <w:rsid w:val="00703DDA"/>
    <w:rsid w:val="00703EFC"/>
    <w:rsid w:val="00705182"/>
    <w:rsid w:val="007058D1"/>
    <w:rsid w:val="00705CB9"/>
    <w:rsid w:val="00706255"/>
    <w:rsid w:val="0070664C"/>
    <w:rsid w:val="007067C7"/>
    <w:rsid w:val="00706ADB"/>
    <w:rsid w:val="00706CCD"/>
    <w:rsid w:val="0070740C"/>
    <w:rsid w:val="0071056B"/>
    <w:rsid w:val="00710858"/>
    <w:rsid w:val="00710964"/>
    <w:rsid w:val="0071120E"/>
    <w:rsid w:val="00711FAF"/>
    <w:rsid w:val="00712EEE"/>
    <w:rsid w:val="00713EB5"/>
    <w:rsid w:val="007144B3"/>
    <w:rsid w:val="007154AE"/>
    <w:rsid w:val="0071626E"/>
    <w:rsid w:val="0071694D"/>
    <w:rsid w:val="0071712E"/>
    <w:rsid w:val="00720119"/>
    <w:rsid w:val="007201FB"/>
    <w:rsid w:val="00720558"/>
    <w:rsid w:val="007207D3"/>
    <w:rsid w:val="00722388"/>
    <w:rsid w:val="00722503"/>
    <w:rsid w:val="0072294A"/>
    <w:rsid w:val="00723A6E"/>
    <w:rsid w:val="00723F01"/>
    <w:rsid w:val="00724437"/>
    <w:rsid w:val="00724BA4"/>
    <w:rsid w:val="00724C92"/>
    <w:rsid w:val="00725382"/>
    <w:rsid w:val="00726AFF"/>
    <w:rsid w:val="00726FD8"/>
    <w:rsid w:val="00727501"/>
    <w:rsid w:val="0073075A"/>
    <w:rsid w:val="00730952"/>
    <w:rsid w:val="00731463"/>
    <w:rsid w:val="007314C5"/>
    <w:rsid w:val="00731AF4"/>
    <w:rsid w:val="007325E7"/>
    <w:rsid w:val="007327A5"/>
    <w:rsid w:val="007337CD"/>
    <w:rsid w:val="00733BDE"/>
    <w:rsid w:val="00734906"/>
    <w:rsid w:val="007351E0"/>
    <w:rsid w:val="00736AFD"/>
    <w:rsid w:val="00737985"/>
    <w:rsid w:val="00737B49"/>
    <w:rsid w:val="00740916"/>
    <w:rsid w:val="00741E5A"/>
    <w:rsid w:val="00742779"/>
    <w:rsid w:val="007427D4"/>
    <w:rsid w:val="00742889"/>
    <w:rsid w:val="007430A2"/>
    <w:rsid w:val="00743A75"/>
    <w:rsid w:val="00744AE4"/>
    <w:rsid w:val="007452AD"/>
    <w:rsid w:val="0074545F"/>
    <w:rsid w:val="007462B7"/>
    <w:rsid w:val="007469BC"/>
    <w:rsid w:val="00747FFC"/>
    <w:rsid w:val="007500A5"/>
    <w:rsid w:val="00750358"/>
    <w:rsid w:val="00751710"/>
    <w:rsid w:val="00751AB9"/>
    <w:rsid w:val="00751B9D"/>
    <w:rsid w:val="00752092"/>
    <w:rsid w:val="007522B1"/>
    <w:rsid w:val="00752700"/>
    <w:rsid w:val="0075283E"/>
    <w:rsid w:val="0075306C"/>
    <w:rsid w:val="007534DB"/>
    <w:rsid w:val="00753861"/>
    <w:rsid w:val="00753B80"/>
    <w:rsid w:val="007541CD"/>
    <w:rsid w:val="00755873"/>
    <w:rsid w:val="007559E7"/>
    <w:rsid w:val="00755EE0"/>
    <w:rsid w:val="00755FE2"/>
    <w:rsid w:val="007578C2"/>
    <w:rsid w:val="00760422"/>
    <w:rsid w:val="00761D59"/>
    <w:rsid w:val="007623AD"/>
    <w:rsid w:val="00762A1D"/>
    <w:rsid w:val="00762BCB"/>
    <w:rsid w:val="00763054"/>
    <w:rsid w:val="00764343"/>
    <w:rsid w:val="00764D7C"/>
    <w:rsid w:val="00765282"/>
    <w:rsid w:val="00765361"/>
    <w:rsid w:val="00765747"/>
    <w:rsid w:val="00765996"/>
    <w:rsid w:val="00765B06"/>
    <w:rsid w:val="00765D8A"/>
    <w:rsid w:val="007667A2"/>
    <w:rsid w:val="007667F4"/>
    <w:rsid w:val="00766F65"/>
    <w:rsid w:val="00766F89"/>
    <w:rsid w:val="00767D0B"/>
    <w:rsid w:val="00771D26"/>
    <w:rsid w:val="00771EC3"/>
    <w:rsid w:val="0077203B"/>
    <w:rsid w:val="00772D73"/>
    <w:rsid w:val="00772E30"/>
    <w:rsid w:val="007743C4"/>
    <w:rsid w:val="007755D2"/>
    <w:rsid w:val="007758F8"/>
    <w:rsid w:val="007764E8"/>
    <w:rsid w:val="00776997"/>
    <w:rsid w:val="00776D37"/>
    <w:rsid w:val="00777678"/>
    <w:rsid w:val="00780C08"/>
    <w:rsid w:val="00780EBC"/>
    <w:rsid w:val="00781B7A"/>
    <w:rsid w:val="00781C3E"/>
    <w:rsid w:val="00782942"/>
    <w:rsid w:val="007830F1"/>
    <w:rsid w:val="007837E4"/>
    <w:rsid w:val="0078413E"/>
    <w:rsid w:val="0078442C"/>
    <w:rsid w:val="00785376"/>
    <w:rsid w:val="007858CB"/>
    <w:rsid w:val="007864EE"/>
    <w:rsid w:val="00786EF9"/>
    <w:rsid w:val="00787620"/>
    <w:rsid w:val="0078786B"/>
    <w:rsid w:val="0078792D"/>
    <w:rsid w:val="00790620"/>
    <w:rsid w:val="00790B37"/>
    <w:rsid w:val="00790BA0"/>
    <w:rsid w:val="00792C08"/>
    <w:rsid w:val="00793908"/>
    <w:rsid w:val="00795133"/>
    <w:rsid w:val="007954B5"/>
    <w:rsid w:val="00795B29"/>
    <w:rsid w:val="00796CA3"/>
    <w:rsid w:val="00797AD5"/>
    <w:rsid w:val="007A0419"/>
    <w:rsid w:val="007A0888"/>
    <w:rsid w:val="007A2D60"/>
    <w:rsid w:val="007A357F"/>
    <w:rsid w:val="007A364F"/>
    <w:rsid w:val="007A3E03"/>
    <w:rsid w:val="007A47C2"/>
    <w:rsid w:val="007A4F9B"/>
    <w:rsid w:val="007A5749"/>
    <w:rsid w:val="007A5A51"/>
    <w:rsid w:val="007A5DD2"/>
    <w:rsid w:val="007A7182"/>
    <w:rsid w:val="007A7EB6"/>
    <w:rsid w:val="007B0597"/>
    <w:rsid w:val="007B07AE"/>
    <w:rsid w:val="007B0EE7"/>
    <w:rsid w:val="007B1529"/>
    <w:rsid w:val="007B18ED"/>
    <w:rsid w:val="007B19EF"/>
    <w:rsid w:val="007B20EE"/>
    <w:rsid w:val="007B26BE"/>
    <w:rsid w:val="007B2F08"/>
    <w:rsid w:val="007B3424"/>
    <w:rsid w:val="007B3B86"/>
    <w:rsid w:val="007B4AC3"/>
    <w:rsid w:val="007B4E6F"/>
    <w:rsid w:val="007B4EC6"/>
    <w:rsid w:val="007B5125"/>
    <w:rsid w:val="007B6CA1"/>
    <w:rsid w:val="007B73E8"/>
    <w:rsid w:val="007B73F4"/>
    <w:rsid w:val="007C017B"/>
    <w:rsid w:val="007C0BBA"/>
    <w:rsid w:val="007C0CA0"/>
    <w:rsid w:val="007C1787"/>
    <w:rsid w:val="007C1F9C"/>
    <w:rsid w:val="007C2287"/>
    <w:rsid w:val="007C2342"/>
    <w:rsid w:val="007C2581"/>
    <w:rsid w:val="007C2B5E"/>
    <w:rsid w:val="007C2B6A"/>
    <w:rsid w:val="007C2F15"/>
    <w:rsid w:val="007C3067"/>
    <w:rsid w:val="007C3A62"/>
    <w:rsid w:val="007C3A92"/>
    <w:rsid w:val="007C436E"/>
    <w:rsid w:val="007C446B"/>
    <w:rsid w:val="007C4891"/>
    <w:rsid w:val="007C5141"/>
    <w:rsid w:val="007C5218"/>
    <w:rsid w:val="007C613D"/>
    <w:rsid w:val="007C68FE"/>
    <w:rsid w:val="007C69E0"/>
    <w:rsid w:val="007D029F"/>
    <w:rsid w:val="007D0436"/>
    <w:rsid w:val="007D0AAF"/>
    <w:rsid w:val="007D1303"/>
    <w:rsid w:val="007D1AA7"/>
    <w:rsid w:val="007D219D"/>
    <w:rsid w:val="007D237E"/>
    <w:rsid w:val="007D2F33"/>
    <w:rsid w:val="007D3443"/>
    <w:rsid w:val="007D38EE"/>
    <w:rsid w:val="007D4BB3"/>
    <w:rsid w:val="007D5511"/>
    <w:rsid w:val="007D5A72"/>
    <w:rsid w:val="007D6430"/>
    <w:rsid w:val="007D7384"/>
    <w:rsid w:val="007D763A"/>
    <w:rsid w:val="007D78AA"/>
    <w:rsid w:val="007D7E04"/>
    <w:rsid w:val="007E0106"/>
    <w:rsid w:val="007E04C6"/>
    <w:rsid w:val="007E0B85"/>
    <w:rsid w:val="007E0F48"/>
    <w:rsid w:val="007E1EA2"/>
    <w:rsid w:val="007E23A7"/>
    <w:rsid w:val="007E28CA"/>
    <w:rsid w:val="007E3450"/>
    <w:rsid w:val="007E36E1"/>
    <w:rsid w:val="007E3C8E"/>
    <w:rsid w:val="007E3CD6"/>
    <w:rsid w:val="007E3F1E"/>
    <w:rsid w:val="007E5D01"/>
    <w:rsid w:val="007E62D6"/>
    <w:rsid w:val="007E67F3"/>
    <w:rsid w:val="007F1655"/>
    <w:rsid w:val="007F17B2"/>
    <w:rsid w:val="007F1E5B"/>
    <w:rsid w:val="007F205F"/>
    <w:rsid w:val="007F293B"/>
    <w:rsid w:val="007F2F70"/>
    <w:rsid w:val="007F4CEB"/>
    <w:rsid w:val="007F4F8B"/>
    <w:rsid w:val="007F5784"/>
    <w:rsid w:val="007F683C"/>
    <w:rsid w:val="007F72D1"/>
    <w:rsid w:val="007F7D64"/>
    <w:rsid w:val="0080023B"/>
    <w:rsid w:val="0080032B"/>
    <w:rsid w:val="00801004"/>
    <w:rsid w:val="0080164F"/>
    <w:rsid w:val="008017F3"/>
    <w:rsid w:val="0080199C"/>
    <w:rsid w:val="00801B07"/>
    <w:rsid w:val="00803120"/>
    <w:rsid w:val="00803C40"/>
    <w:rsid w:val="00803E6B"/>
    <w:rsid w:val="0080426F"/>
    <w:rsid w:val="00804779"/>
    <w:rsid w:val="00804E4B"/>
    <w:rsid w:val="00805303"/>
    <w:rsid w:val="008054F1"/>
    <w:rsid w:val="00805A4F"/>
    <w:rsid w:val="0080635D"/>
    <w:rsid w:val="008072A7"/>
    <w:rsid w:val="00807B82"/>
    <w:rsid w:val="00807FED"/>
    <w:rsid w:val="0081222B"/>
    <w:rsid w:val="008127D1"/>
    <w:rsid w:val="00812803"/>
    <w:rsid w:val="00812E17"/>
    <w:rsid w:val="00812E45"/>
    <w:rsid w:val="00813646"/>
    <w:rsid w:val="0081387C"/>
    <w:rsid w:val="008139A1"/>
    <w:rsid w:val="008141EF"/>
    <w:rsid w:val="00814895"/>
    <w:rsid w:val="008149CC"/>
    <w:rsid w:val="00815415"/>
    <w:rsid w:val="00815550"/>
    <w:rsid w:val="008161E4"/>
    <w:rsid w:val="00816747"/>
    <w:rsid w:val="00816940"/>
    <w:rsid w:val="00816EE4"/>
    <w:rsid w:val="008177AC"/>
    <w:rsid w:val="008202E2"/>
    <w:rsid w:val="008206EB"/>
    <w:rsid w:val="00820848"/>
    <w:rsid w:val="008208EC"/>
    <w:rsid w:val="00820B84"/>
    <w:rsid w:val="00820CF1"/>
    <w:rsid w:val="0082120A"/>
    <w:rsid w:val="00822841"/>
    <w:rsid w:val="008240D0"/>
    <w:rsid w:val="00824196"/>
    <w:rsid w:val="008246E8"/>
    <w:rsid w:val="00825429"/>
    <w:rsid w:val="0082595F"/>
    <w:rsid w:val="00826423"/>
    <w:rsid w:val="0082669E"/>
    <w:rsid w:val="00826780"/>
    <w:rsid w:val="008268BD"/>
    <w:rsid w:val="00826A32"/>
    <w:rsid w:val="00826AC2"/>
    <w:rsid w:val="00827813"/>
    <w:rsid w:val="0082799E"/>
    <w:rsid w:val="008303E6"/>
    <w:rsid w:val="00830755"/>
    <w:rsid w:val="008315BF"/>
    <w:rsid w:val="0083177A"/>
    <w:rsid w:val="00831FDE"/>
    <w:rsid w:val="0083237F"/>
    <w:rsid w:val="008323F6"/>
    <w:rsid w:val="00833E04"/>
    <w:rsid w:val="00834735"/>
    <w:rsid w:val="00834826"/>
    <w:rsid w:val="00834D3A"/>
    <w:rsid w:val="00835517"/>
    <w:rsid w:val="008357B1"/>
    <w:rsid w:val="00836099"/>
    <w:rsid w:val="00836180"/>
    <w:rsid w:val="0083689A"/>
    <w:rsid w:val="008402F3"/>
    <w:rsid w:val="00840DA7"/>
    <w:rsid w:val="00841328"/>
    <w:rsid w:val="008422AD"/>
    <w:rsid w:val="008422BF"/>
    <w:rsid w:val="0084268C"/>
    <w:rsid w:val="00842E37"/>
    <w:rsid w:val="00842F86"/>
    <w:rsid w:val="0084400F"/>
    <w:rsid w:val="0084468E"/>
    <w:rsid w:val="00844AB1"/>
    <w:rsid w:val="00845640"/>
    <w:rsid w:val="00845BF0"/>
    <w:rsid w:val="00845E42"/>
    <w:rsid w:val="00846283"/>
    <w:rsid w:val="00846383"/>
    <w:rsid w:val="00846454"/>
    <w:rsid w:val="008465A5"/>
    <w:rsid w:val="008466E0"/>
    <w:rsid w:val="00846F1C"/>
    <w:rsid w:val="0084768E"/>
    <w:rsid w:val="00847A84"/>
    <w:rsid w:val="00847FB4"/>
    <w:rsid w:val="0085092B"/>
    <w:rsid w:val="00850A49"/>
    <w:rsid w:val="0085217F"/>
    <w:rsid w:val="008527D3"/>
    <w:rsid w:val="00852B91"/>
    <w:rsid w:val="00852CA5"/>
    <w:rsid w:val="00853448"/>
    <w:rsid w:val="008536C0"/>
    <w:rsid w:val="00853FE9"/>
    <w:rsid w:val="008543A7"/>
    <w:rsid w:val="00854555"/>
    <w:rsid w:val="008548CC"/>
    <w:rsid w:val="0085593E"/>
    <w:rsid w:val="00855AD3"/>
    <w:rsid w:val="00855F22"/>
    <w:rsid w:val="00856338"/>
    <w:rsid w:val="008577C9"/>
    <w:rsid w:val="00860FC4"/>
    <w:rsid w:val="00861391"/>
    <w:rsid w:val="0086149C"/>
    <w:rsid w:val="00861B61"/>
    <w:rsid w:val="0086216E"/>
    <w:rsid w:val="00862439"/>
    <w:rsid w:val="008629F9"/>
    <w:rsid w:val="00862A27"/>
    <w:rsid w:val="00862B7C"/>
    <w:rsid w:val="0086335B"/>
    <w:rsid w:val="00863418"/>
    <w:rsid w:val="00863974"/>
    <w:rsid w:val="00863DDE"/>
    <w:rsid w:val="008640E1"/>
    <w:rsid w:val="00864382"/>
    <w:rsid w:val="00864682"/>
    <w:rsid w:val="0086496E"/>
    <w:rsid w:val="00864A2B"/>
    <w:rsid w:val="00864C6E"/>
    <w:rsid w:val="00865652"/>
    <w:rsid w:val="00865ED8"/>
    <w:rsid w:val="008664C9"/>
    <w:rsid w:val="00866E03"/>
    <w:rsid w:val="0086735A"/>
    <w:rsid w:val="00867875"/>
    <w:rsid w:val="00870318"/>
    <w:rsid w:val="00871BD0"/>
    <w:rsid w:val="0087231B"/>
    <w:rsid w:val="008724A2"/>
    <w:rsid w:val="00872507"/>
    <w:rsid w:val="008733FA"/>
    <w:rsid w:val="008738C1"/>
    <w:rsid w:val="00874165"/>
    <w:rsid w:val="008742F9"/>
    <w:rsid w:val="008743C3"/>
    <w:rsid w:val="008756CF"/>
    <w:rsid w:val="00876982"/>
    <w:rsid w:val="00877187"/>
    <w:rsid w:val="00877728"/>
    <w:rsid w:val="00877F3D"/>
    <w:rsid w:val="008803B9"/>
    <w:rsid w:val="0088088D"/>
    <w:rsid w:val="00881068"/>
    <w:rsid w:val="00881D01"/>
    <w:rsid w:val="0088230B"/>
    <w:rsid w:val="00882F22"/>
    <w:rsid w:val="00883A5C"/>
    <w:rsid w:val="00884F07"/>
    <w:rsid w:val="00884F55"/>
    <w:rsid w:val="00885498"/>
    <w:rsid w:val="008859FC"/>
    <w:rsid w:val="00890145"/>
    <w:rsid w:val="00891189"/>
    <w:rsid w:val="0089175A"/>
    <w:rsid w:val="00891ED9"/>
    <w:rsid w:val="00893649"/>
    <w:rsid w:val="00893D35"/>
    <w:rsid w:val="00893E52"/>
    <w:rsid w:val="00894020"/>
    <w:rsid w:val="0089470F"/>
    <w:rsid w:val="00894B8B"/>
    <w:rsid w:val="00896373"/>
    <w:rsid w:val="00896520"/>
    <w:rsid w:val="008A0341"/>
    <w:rsid w:val="008A0F7A"/>
    <w:rsid w:val="008A13ED"/>
    <w:rsid w:val="008A159F"/>
    <w:rsid w:val="008A1CCF"/>
    <w:rsid w:val="008A2336"/>
    <w:rsid w:val="008A2B9E"/>
    <w:rsid w:val="008A30CC"/>
    <w:rsid w:val="008A3AA7"/>
    <w:rsid w:val="008A3BC8"/>
    <w:rsid w:val="008A403F"/>
    <w:rsid w:val="008A4054"/>
    <w:rsid w:val="008A4790"/>
    <w:rsid w:val="008A52C0"/>
    <w:rsid w:val="008A5C94"/>
    <w:rsid w:val="008A7D7E"/>
    <w:rsid w:val="008A7F41"/>
    <w:rsid w:val="008B0631"/>
    <w:rsid w:val="008B1843"/>
    <w:rsid w:val="008B2472"/>
    <w:rsid w:val="008B2B92"/>
    <w:rsid w:val="008B2BB7"/>
    <w:rsid w:val="008B3E50"/>
    <w:rsid w:val="008B4171"/>
    <w:rsid w:val="008B4BAC"/>
    <w:rsid w:val="008B4D32"/>
    <w:rsid w:val="008B53F7"/>
    <w:rsid w:val="008B66E0"/>
    <w:rsid w:val="008B6878"/>
    <w:rsid w:val="008B7093"/>
    <w:rsid w:val="008B7EE5"/>
    <w:rsid w:val="008C037D"/>
    <w:rsid w:val="008C0495"/>
    <w:rsid w:val="008C0524"/>
    <w:rsid w:val="008C09C8"/>
    <w:rsid w:val="008C0CAA"/>
    <w:rsid w:val="008C0F17"/>
    <w:rsid w:val="008C11DC"/>
    <w:rsid w:val="008C1366"/>
    <w:rsid w:val="008C1A56"/>
    <w:rsid w:val="008C1A6C"/>
    <w:rsid w:val="008C2094"/>
    <w:rsid w:val="008C24FE"/>
    <w:rsid w:val="008C2B8B"/>
    <w:rsid w:val="008C2E97"/>
    <w:rsid w:val="008C2ECF"/>
    <w:rsid w:val="008C33DF"/>
    <w:rsid w:val="008C37C2"/>
    <w:rsid w:val="008C3DA7"/>
    <w:rsid w:val="008C5A3B"/>
    <w:rsid w:val="008C64EC"/>
    <w:rsid w:val="008C7163"/>
    <w:rsid w:val="008C781F"/>
    <w:rsid w:val="008C7BBF"/>
    <w:rsid w:val="008C7EF1"/>
    <w:rsid w:val="008D0B31"/>
    <w:rsid w:val="008D0E8F"/>
    <w:rsid w:val="008D11AB"/>
    <w:rsid w:val="008D153C"/>
    <w:rsid w:val="008D1D4B"/>
    <w:rsid w:val="008D2121"/>
    <w:rsid w:val="008D2A03"/>
    <w:rsid w:val="008D2ACB"/>
    <w:rsid w:val="008D36F5"/>
    <w:rsid w:val="008D3A40"/>
    <w:rsid w:val="008D3CD4"/>
    <w:rsid w:val="008D3F97"/>
    <w:rsid w:val="008D43EF"/>
    <w:rsid w:val="008D467E"/>
    <w:rsid w:val="008D4952"/>
    <w:rsid w:val="008D4A22"/>
    <w:rsid w:val="008D53F0"/>
    <w:rsid w:val="008D5801"/>
    <w:rsid w:val="008D5871"/>
    <w:rsid w:val="008D5B4C"/>
    <w:rsid w:val="008E040F"/>
    <w:rsid w:val="008E1457"/>
    <w:rsid w:val="008E2274"/>
    <w:rsid w:val="008E238B"/>
    <w:rsid w:val="008E2775"/>
    <w:rsid w:val="008E29E4"/>
    <w:rsid w:val="008E2D25"/>
    <w:rsid w:val="008E33EC"/>
    <w:rsid w:val="008E43FB"/>
    <w:rsid w:val="008E497C"/>
    <w:rsid w:val="008E52DB"/>
    <w:rsid w:val="008E56D7"/>
    <w:rsid w:val="008E5E76"/>
    <w:rsid w:val="008E6DAF"/>
    <w:rsid w:val="008E6EB3"/>
    <w:rsid w:val="008E7345"/>
    <w:rsid w:val="008E7466"/>
    <w:rsid w:val="008F1AD2"/>
    <w:rsid w:val="008F1BA1"/>
    <w:rsid w:val="008F1ED7"/>
    <w:rsid w:val="008F21CC"/>
    <w:rsid w:val="008F4015"/>
    <w:rsid w:val="008F431B"/>
    <w:rsid w:val="008F518E"/>
    <w:rsid w:val="008F5AF6"/>
    <w:rsid w:val="008F6A19"/>
    <w:rsid w:val="008F6B03"/>
    <w:rsid w:val="008F6B27"/>
    <w:rsid w:val="008F7549"/>
    <w:rsid w:val="008F7F90"/>
    <w:rsid w:val="00901083"/>
    <w:rsid w:val="00901E7F"/>
    <w:rsid w:val="00902270"/>
    <w:rsid w:val="00903F0A"/>
    <w:rsid w:val="00904F5B"/>
    <w:rsid w:val="00905558"/>
    <w:rsid w:val="00905C8B"/>
    <w:rsid w:val="0090690B"/>
    <w:rsid w:val="00906BE7"/>
    <w:rsid w:val="00907243"/>
    <w:rsid w:val="0090762D"/>
    <w:rsid w:val="00907967"/>
    <w:rsid w:val="00910B0D"/>
    <w:rsid w:val="00910C6F"/>
    <w:rsid w:val="00911533"/>
    <w:rsid w:val="009117B4"/>
    <w:rsid w:val="00911B08"/>
    <w:rsid w:val="00911FBD"/>
    <w:rsid w:val="00912163"/>
    <w:rsid w:val="009122C7"/>
    <w:rsid w:val="009133D7"/>
    <w:rsid w:val="0091361B"/>
    <w:rsid w:val="0091398B"/>
    <w:rsid w:val="00915710"/>
    <w:rsid w:val="00915719"/>
    <w:rsid w:val="00915801"/>
    <w:rsid w:val="00917638"/>
    <w:rsid w:val="0091784A"/>
    <w:rsid w:val="009202B5"/>
    <w:rsid w:val="0092051A"/>
    <w:rsid w:val="00920E31"/>
    <w:rsid w:val="00921BCE"/>
    <w:rsid w:val="00921F64"/>
    <w:rsid w:val="00922C21"/>
    <w:rsid w:val="00922DC6"/>
    <w:rsid w:val="0092449F"/>
    <w:rsid w:val="009245AC"/>
    <w:rsid w:val="0092474A"/>
    <w:rsid w:val="00924BED"/>
    <w:rsid w:val="00926067"/>
    <w:rsid w:val="00926908"/>
    <w:rsid w:val="009309E6"/>
    <w:rsid w:val="00930C3B"/>
    <w:rsid w:val="0093126C"/>
    <w:rsid w:val="00931F5E"/>
    <w:rsid w:val="009324D0"/>
    <w:rsid w:val="00933537"/>
    <w:rsid w:val="00934084"/>
    <w:rsid w:val="0093442A"/>
    <w:rsid w:val="009346BB"/>
    <w:rsid w:val="00935787"/>
    <w:rsid w:val="0093611D"/>
    <w:rsid w:val="009369E6"/>
    <w:rsid w:val="00937068"/>
    <w:rsid w:val="00940F4A"/>
    <w:rsid w:val="00941051"/>
    <w:rsid w:val="009420B0"/>
    <w:rsid w:val="00942B70"/>
    <w:rsid w:val="00942BEE"/>
    <w:rsid w:val="00942E88"/>
    <w:rsid w:val="00943641"/>
    <w:rsid w:val="009453C0"/>
    <w:rsid w:val="00945F4D"/>
    <w:rsid w:val="009466B6"/>
    <w:rsid w:val="009466DD"/>
    <w:rsid w:val="0094681D"/>
    <w:rsid w:val="00946E80"/>
    <w:rsid w:val="00946EC0"/>
    <w:rsid w:val="00947304"/>
    <w:rsid w:val="009476ED"/>
    <w:rsid w:val="00947F7F"/>
    <w:rsid w:val="00950220"/>
    <w:rsid w:val="009506F0"/>
    <w:rsid w:val="00950F3A"/>
    <w:rsid w:val="00951625"/>
    <w:rsid w:val="00951A7A"/>
    <w:rsid w:val="00951DE8"/>
    <w:rsid w:val="009525D9"/>
    <w:rsid w:val="00953743"/>
    <w:rsid w:val="00953B8E"/>
    <w:rsid w:val="00954242"/>
    <w:rsid w:val="00954B4D"/>
    <w:rsid w:val="00954FA7"/>
    <w:rsid w:val="0095625E"/>
    <w:rsid w:val="009564F1"/>
    <w:rsid w:val="00956595"/>
    <w:rsid w:val="009619E0"/>
    <w:rsid w:val="0096355B"/>
    <w:rsid w:val="009635D5"/>
    <w:rsid w:val="009645E5"/>
    <w:rsid w:val="009656E8"/>
    <w:rsid w:val="009669D4"/>
    <w:rsid w:val="00966BA9"/>
    <w:rsid w:val="00970E37"/>
    <w:rsid w:val="00971140"/>
    <w:rsid w:val="009716F7"/>
    <w:rsid w:val="0097338F"/>
    <w:rsid w:val="009733B5"/>
    <w:rsid w:val="0097378B"/>
    <w:rsid w:val="00974EFE"/>
    <w:rsid w:val="00974FCE"/>
    <w:rsid w:val="009752A0"/>
    <w:rsid w:val="00975439"/>
    <w:rsid w:val="00975A85"/>
    <w:rsid w:val="0097654D"/>
    <w:rsid w:val="0097675F"/>
    <w:rsid w:val="009767F1"/>
    <w:rsid w:val="00976D47"/>
    <w:rsid w:val="009776AB"/>
    <w:rsid w:val="0097783F"/>
    <w:rsid w:val="0098034E"/>
    <w:rsid w:val="00980B15"/>
    <w:rsid w:val="00981228"/>
    <w:rsid w:val="00981B70"/>
    <w:rsid w:val="00981F23"/>
    <w:rsid w:val="0098205B"/>
    <w:rsid w:val="00982C5A"/>
    <w:rsid w:val="00982F6B"/>
    <w:rsid w:val="009830F7"/>
    <w:rsid w:val="0098398B"/>
    <w:rsid w:val="00983A6A"/>
    <w:rsid w:val="00984313"/>
    <w:rsid w:val="00984CAF"/>
    <w:rsid w:val="00984F8E"/>
    <w:rsid w:val="00986DB3"/>
    <w:rsid w:val="009874D9"/>
    <w:rsid w:val="00987969"/>
    <w:rsid w:val="00987C33"/>
    <w:rsid w:val="00987CB4"/>
    <w:rsid w:val="00987DC8"/>
    <w:rsid w:val="00990229"/>
    <w:rsid w:val="00990411"/>
    <w:rsid w:val="00990B34"/>
    <w:rsid w:val="00990CAC"/>
    <w:rsid w:val="009914FD"/>
    <w:rsid w:val="00991553"/>
    <w:rsid w:val="00991AAA"/>
    <w:rsid w:val="00991C7B"/>
    <w:rsid w:val="00991F95"/>
    <w:rsid w:val="009921DB"/>
    <w:rsid w:val="009929C2"/>
    <w:rsid w:val="009929F1"/>
    <w:rsid w:val="009930DD"/>
    <w:rsid w:val="009933B9"/>
    <w:rsid w:val="009936EA"/>
    <w:rsid w:val="009939F5"/>
    <w:rsid w:val="0099438C"/>
    <w:rsid w:val="0099520D"/>
    <w:rsid w:val="009959C2"/>
    <w:rsid w:val="0099657D"/>
    <w:rsid w:val="009A0123"/>
    <w:rsid w:val="009A012D"/>
    <w:rsid w:val="009A04CA"/>
    <w:rsid w:val="009A0727"/>
    <w:rsid w:val="009A0E01"/>
    <w:rsid w:val="009A0EDB"/>
    <w:rsid w:val="009A1493"/>
    <w:rsid w:val="009A1532"/>
    <w:rsid w:val="009A17A1"/>
    <w:rsid w:val="009A1F9B"/>
    <w:rsid w:val="009A2084"/>
    <w:rsid w:val="009A255F"/>
    <w:rsid w:val="009A2D17"/>
    <w:rsid w:val="009A2F81"/>
    <w:rsid w:val="009A3451"/>
    <w:rsid w:val="009A34C2"/>
    <w:rsid w:val="009A4018"/>
    <w:rsid w:val="009A4C05"/>
    <w:rsid w:val="009A5123"/>
    <w:rsid w:val="009A5735"/>
    <w:rsid w:val="009A58BC"/>
    <w:rsid w:val="009A5D90"/>
    <w:rsid w:val="009A6411"/>
    <w:rsid w:val="009A6CEF"/>
    <w:rsid w:val="009A7059"/>
    <w:rsid w:val="009A786A"/>
    <w:rsid w:val="009B0158"/>
    <w:rsid w:val="009B0E1C"/>
    <w:rsid w:val="009B1243"/>
    <w:rsid w:val="009B18C6"/>
    <w:rsid w:val="009B2244"/>
    <w:rsid w:val="009B3799"/>
    <w:rsid w:val="009B3BD9"/>
    <w:rsid w:val="009B3DE3"/>
    <w:rsid w:val="009B4212"/>
    <w:rsid w:val="009B48C8"/>
    <w:rsid w:val="009B59AB"/>
    <w:rsid w:val="009B7AA6"/>
    <w:rsid w:val="009C01ED"/>
    <w:rsid w:val="009C031C"/>
    <w:rsid w:val="009C0C61"/>
    <w:rsid w:val="009C0FE8"/>
    <w:rsid w:val="009C1017"/>
    <w:rsid w:val="009C145E"/>
    <w:rsid w:val="009C19B5"/>
    <w:rsid w:val="009C1EB5"/>
    <w:rsid w:val="009C20F0"/>
    <w:rsid w:val="009C276F"/>
    <w:rsid w:val="009C28DE"/>
    <w:rsid w:val="009C37E4"/>
    <w:rsid w:val="009C3833"/>
    <w:rsid w:val="009C396C"/>
    <w:rsid w:val="009C4137"/>
    <w:rsid w:val="009C42E1"/>
    <w:rsid w:val="009C4AF3"/>
    <w:rsid w:val="009C4DC9"/>
    <w:rsid w:val="009C660F"/>
    <w:rsid w:val="009D2544"/>
    <w:rsid w:val="009D265E"/>
    <w:rsid w:val="009D276A"/>
    <w:rsid w:val="009D2ACC"/>
    <w:rsid w:val="009D3992"/>
    <w:rsid w:val="009D39E3"/>
    <w:rsid w:val="009D3ADE"/>
    <w:rsid w:val="009D4904"/>
    <w:rsid w:val="009D4ACC"/>
    <w:rsid w:val="009D5585"/>
    <w:rsid w:val="009D587C"/>
    <w:rsid w:val="009D6A32"/>
    <w:rsid w:val="009D701C"/>
    <w:rsid w:val="009D717C"/>
    <w:rsid w:val="009D73DF"/>
    <w:rsid w:val="009D7AB1"/>
    <w:rsid w:val="009D7C9B"/>
    <w:rsid w:val="009D7D6D"/>
    <w:rsid w:val="009E0249"/>
    <w:rsid w:val="009E08F3"/>
    <w:rsid w:val="009E0958"/>
    <w:rsid w:val="009E0B84"/>
    <w:rsid w:val="009E1A30"/>
    <w:rsid w:val="009E294B"/>
    <w:rsid w:val="009E35BC"/>
    <w:rsid w:val="009E3C01"/>
    <w:rsid w:val="009E4072"/>
    <w:rsid w:val="009E5C28"/>
    <w:rsid w:val="009E5FD0"/>
    <w:rsid w:val="009E64A3"/>
    <w:rsid w:val="009E73DC"/>
    <w:rsid w:val="009E750D"/>
    <w:rsid w:val="009E76DF"/>
    <w:rsid w:val="009F08AB"/>
    <w:rsid w:val="009F11C8"/>
    <w:rsid w:val="009F1233"/>
    <w:rsid w:val="009F185A"/>
    <w:rsid w:val="009F1A9D"/>
    <w:rsid w:val="009F2F9A"/>
    <w:rsid w:val="009F3567"/>
    <w:rsid w:val="009F39F1"/>
    <w:rsid w:val="009F5174"/>
    <w:rsid w:val="009F5804"/>
    <w:rsid w:val="009F5C83"/>
    <w:rsid w:val="009F6DAA"/>
    <w:rsid w:val="009F6EA7"/>
    <w:rsid w:val="009F7B1A"/>
    <w:rsid w:val="00A001AE"/>
    <w:rsid w:val="00A001BE"/>
    <w:rsid w:val="00A0096E"/>
    <w:rsid w:val="00A00AF3"/>
    <w:rsid w:val="00A01454"/>
    <w:rsid w:val="00A026C9"/>
    <w:rsid w:val="00A02AB7"/>
    <w:rsid w:val="00A02F86"/>
    <w:rsid w:val="00A031CA"/>
    <w:rsid w:val="00A03422"/>
    <w:rsid w:val="00A0350D"/>
    <w:rsid w:val="00A03626"/>
    <w:rsid w:val="00A03CA6"/>
    <w:rsid w:val="00A0403B"/>
    <w:rsid w:val="00A056A8"/>
    <w:rsid w:val="00A0573A"/>
    <w:rsid w:val="00A06047"/>
    <w:rsid w:val="00A0656C"/>
    <w:rsid w:val="00A0754C"/>
    <w:rsid w:val="00A10F03"/>
    <w:rsid w:val="00A111B1"/>
    <w:rsid w:val="00A12292"/>
    <w:rsid w:val="00A13BE0"/>
    <w:rsid w:val="00A13C44"/>
    <w:rsid w:val="00A14137"/>
    <w:rsid w:val="00A14609"/>
    <w:rsid w:val="00A14EE4"/>
    <w:rsid w:val="00A1584D"/>
    <w:rsid w:val="00A15B42"/>
    <w:rsid w:val="00A15BB3"/>
    <w:rsid w:val="00A16D7C"/>
    <w:rsid w:val="00A170BA"/>
    <w:rsid w:val="00A1719C"/>
    <w:rsid w:val="00A17265"/>
    <w:rsid w:val="00A1732B"/>
    <w:rsid w:val="00A17ADB"/>
    <w:rsid w:val="00A17B48"/>
    <w:rsid w:val="00A17E5D"/>
    <w:rsid w:val="00A17FE9"/>
    <w:rsid w:val="00A2151C"/>
    <w:rsid w:val="00A2293F"/>
    <w:rsid w:val="00A248D1"/>
    <w:rsid w:val="00A24CC1"/>
    <w:rsid w:val="00A268EC"/>
    <w:rsid w:val="00A26FA1"/>
    <w:rsid w:val="00A279C9"/>
    <w:rsid w:val="00A27F7A"/>
    <w:rsid w:val="00A30458"/>
    <w:rsid w:val="00A31120"/>
    <w:rsid w:val="00A31287"/>
    <w:rsid w:val="00A31B76"/>
    <w:rsid w:val="00A31CB2"/>
    <w:rsid w:val="00A33821"/>
    <w:rsid w:val="00A348D4"/>
    <w:rsid w:val="00A34B14"/>
    <w:rsid w:val="00A354FB"/>
    <w:rsid w:val="00A3692B"/>
    <w:rsid w:val="00A37677"/>
    <w:rsid w:val="00A3775B"/>
    <w:rsid w:val="00A40AED"/>
    <w:rsid w:val="00A40CEE"/>
    <w:rsid w:val="00A40D99"/>
    <w:rsid w:val="00A4110C"/>
    <w:rsid w:val="00A415A4"/>
    <w:rsid w:val="00A41A3F"/>
    <w:rsid w:val="00A42FF8"/>
    <w:rsid w:val="00A430E8"/>
    <w:rsid w:val="00A434C4"/>
    <w:rsid w:val="00A435AA"/>
    <w:rsid w:val="00A435C0"/>
    <w:rsid w:val="00A43A19"/>
    <w:rsid w:val="00A43AE0"/>
    <w:rsid w:val="00A43C45"/>
    <w:rsid w:val="00A4400E"/>
    <w:rsid w:val="00A4421B"/>
    <w:rsid w:val="00A4455A"/>
    <w:rsid w:val="00A455AF"/>
    <w:rsid w:val="00A45D36"/>
    <w:rsid w:val="00A46411"/>
    <w:rsid w:val="00A46924"/>
    <w:rsid w:val="00A46E39"/>
    <w:rsid w:val="00A4796D"/>
    <w:rsid w:val="00A50BC7"/>
    <w:rsid w:val="00A50C1B"/>
    <w:rsid w:val="00A52C77"/>
    <w:rsid w:val="00A55B84"/>
    <w:rsid w:val="00A565A0"/>
    <w:rsid w:val="00A56690"/>
    <w:rsid w:val="00A567F0"/>
    <w:rsid w:val="00A569CE"/>
    <w:rsid w:val="00A56BCC"/>
    <w:rsid w:val="00A60117"/>
    <w:rsid w:val="00A602D6"/>
    <w:rsid w:val="00A60AAC"/>
    <w:rsid w:val="00A60B23"/>
    <w:rsid w:val="00A625BA"/>
    <w:rsid w:val="00A62C95"/>
    <w:rsid w:val="00A62DF2"/>
    <w:rsid w:val="00A62F68"/>
    <w:rsid w:val="00A64975"/>
    <w:rsid w:val="00A64A8F"/>
    <w:rsid w:val="00A64ADE"/>
    <w:rsid w:val="00A64C41"/>
    <w:rsid w:val="00A6548F"/>
    <w:rsid w:val="00A665DF"/>
    <w:rsid w:val="00A6756E"/>
    <w:rsid w:val="00A678C6"/>
    <w:rsid w:val="00A679AC"/>
    <w:rsid w:val="00A67F14"/>
    <w:rsid w:val="00A702E8"/>
    <w:rsid w:val="00A70355"/>
    <w:rsid w:val="00A71770"/>
    <w:rsid w:val="00A7348D"/>
    <w:rsid w:val="00A75348"/>
    <w:rsid w:val="00A75550"/>
    <w:rsid w:val="00A7595E"/>
    <w:rsid w:val="00A75A57"/>
    <w:rsid w:val="00A75C13"/>
    <w:rsid w:val="00A75DC9"/>
    <w:rsid w:val="00A75DF7"/>
    <w:rsid w:val="00A7610E"/>
    <w:rsid w:val="00A76AC8"/>
    <w:rsid w:val="00A7752A"/>
    <w:rsid w:val="00A77F8F"/>
    <w:rsid w:val="00A81F3C"/>
    <w:rsid w:val="00A8218D"/>
    <w:rsid w:val="00A826BD"/>
    <w:rsid w:val="00A82C30"/>
    <w:rsid w:val="00A831C4"/>
    <w:rsid w:val="00A83D22"/>
    <w:rsid w:val="00A854D3"/>
    <w:rsid w:val="00A855E0"/>
    <w:rsid w:val="00A857EE"/>
    <w:rsid w:val="00A85E68"/>
    <w:rsid w:val="00A85E6C"/>
    <w:rsid w:val="00A85E88"/>
    <w:rsid w:val="00A86439"/>
    <w:rsid w:val="00A87360"/>
    <w:rsid w:val="00A87AC2"/>
    <w:rsid w:val="00A903A0"/>
    <w:rsid w:val="00A90DE2"/>
    <w:rsid w:val="00A91738"/>
    <w:rsid w:val="00A92AC7"/>
    <w:rsid w:val="00A954ED"/>
    <w:rsid w:val="00A95B42"/>
    <w:rsid w:val="00A97A03"/>
    <w:rsid w:val="00A97A9D"/>
    <w:rsid w:val="00A97E53"/>
    <w:rsid w:val="00AA0180"/>
    <w:rsid w:val="00AA02DF"/>
    <w:rsid w:val="00AA0D6C"/>
    <w:rsid w:val="00AA11D0"/>
    <w:rsid w:val="00AA1D69"/>
    <w:rsid w:val="00AA37B2"/>
    <w:rsid w:val="00AA3F96"/>
    <w:rsid w:val="00AA7E13"/>
    <w:rsid w:val="00AA7E6A"/>
    <w:rsid w:val="00AB041E"/>
    <w:rsid w:val="00AB1359"/>
    <w:rsid w:val="00AB1D17"/>
    <w:rsid w:val="00AB1D2C"/>
    <w:rsid w:val="00AB2966"/>
    <w:rsid w:val="00AB3051"/>
    <w:rsid w:val="00AB41C1"/>
    <w:rsid w:val="00AB53E5"/>
    <w:rsid w:val="00AB610B"/>
    <w:rsid w:val="00AB67DE"/>
    <w:rsid w:val="00AB6D26"/>
    <w:rsid w:val="00AB6DA5"/>
    <w:rsid w:val="00AB7987"/>
    <w:rsid w:val="00AB7AB4"/>
    <w:rsid w:val="00AB7C01"/>
    <w:rsid w:val="00AC06A0"/>
    <w:rsid w:val="00AC0A77"/>
    <w:rsid w:val="00AC344D"/>
    <w:rsid w:val="00AC35F8"/>
    <w:rsid w:val="00AC3F50"/>
    <w:rsid w:val="00AC4E56"/>
    <w:rsid w:val="00AC5B1B"/>
    <w:rsid w:val="00AC6480"/>
    <w:rsid w:val="00AC67CD"/>
    <w:rsid w:val="00AC7021"/>
    <w:rsid w:val="00AC70F3"/>
    <w:rsid w:val="00AC75CF"/>
    <w:rsid w:val="00AD0726"/>
    <w:rsid w:val="00AD0AE0"/>
    <w:rsid w:val="00AD1BD2"/>
    <w:rsid w:val="00AD1C15"/>
    <w:rsid w:val="00AD2F9B"/>
    <w:rsid w:val="00AD33ED"/>
    <w:rsid w:val="00AD3954"/>
    <w:rsid w:val="00AD3B1C"/>
    <w:rsid w:val="00AD46D4"/>
    <w:rsid w:val="00AD6817"/>
    <w:rsid w:val="00AD7876"/>
    <w:rsid w:val="00AE0DC1"/>
    <w:rsid w:val="00AE12C0"/>
    <w:rsid w:val="00AE1573"/>
    <w:rsid w:val="00AE1A8D"/>
    <w:rsid w:val="00AE1BBA"/>
    <w:rsid w:val="00AE2583"/>
    <w:rsid w:val="00AE2BC0"/>
    <w:rsid w:val="00AE3027"/>
    <w:rsid w:val="00AE35F6"/>
    <w:rsid w:val="00AE380E"/>
    <w:rsid w:val="00AE3914"/>
    <w:rsid w:val="00AE39BA"/>
    <w:rsid w:val="00AE4C7E"/>
    <w:rsid w:val="00AE54D6"/>
    <w:rsid w:val="00AE5A35"/>
    <w:rsid w:val="00AE6635"/>
    <w:rsid w:val="00AE7799"/>
    <w:rsid w:val="00AE7DFD"/>
    <w:rsid w:val="00AF128D"/>
    <w:rsid w:val="00AF29AD"/>
    <w:rsid w:val="00AF359C"/>
    <w:rsid w:val="00AF37B5"/>
    <w:rsid w:val="00AF44BB"/>
    <w:rsid w:val="00AF4892"/>
    <w:rsid w:val="00AF4AE5"/>
    <w:rsid w:val="00AF4FF8"/>
    <w:rsid w:val="00AF5168"/>
    <w:rsid w:val="00AF543D"/>
    <w:rsid w:val="00AF6392"/>
    <w:rsid w:val="00AF6B0C"/>
    <w:rsid w:val="00AF6F6E"/>
    <w:rsid w:val="00AF700A"/>
    <w:rsid w:val="00B00087"/>
    <w:rsid w:val="00B00E95"/>
    <w:rsid w:val="00B02ADA"/>
    <w:rsid w:val="00B02F7A"/>
    <w:rsid w:val="00B0320D"/>
    <w:rsid w:val="00B035C2"/>
    <w:rsid w:val="00B03785"/>
    <w:rsid w:val="00B04BF9"/>
    <w:rsid w:val="00B054EB"/>
    <w:rsid w:val="00B05FD6"/>
    <w:rsid w:val="00B07629"/>
    <w:rsid w:val="00B07EE0"/>
    <w:rsid w:val="00B10724"/>
    <w:rsid w:val="00B1136E"/>
    <w:rsid w:val="00B11799"/>
    <w:rsid w:val="00B12E83"/>
    <w:rsid w:val="00B13100"/>
    <w:rsid w:val="00B148E3"/>
    <w:rsid w:val="00B14A71"/>
    <w:rsid w:val="00B14F64"/>
    <w:rsid w:val="00B1545F"/>
    <w:rsid w:val="00B156D6"/>
    <w:rsid w:val="00B1578C"/>
    <w:rsid w:val="00B157AB"/>
    <w:rsid w:val="00B16B77"/>
    <w:rsid w:val="00B16C61"/>
    <w:rsid w:val="00B1708D"/>
    <w:rsid w:val="00B17695"/>
    <w:rsid w:val="00B21387"/>
    <w:rsid w:val="00B21F54"/>
    <w:rsid w:val="00B24061"/>
    <w:rsid w:val="00B248B9"/>
    <w:rsid w:val="00B24A9A"/>
    <w:rsid w:val="00B27944"/>
    <w:rsid w:val="00B30673"/>
    <w:rsid w:val="00B311BB"/>
    <w:rsid w:val="00B324CA"/>
    <w:rsid w:val="00B326B1"/>
    <w:rsid w:val="00B32B79"/>
    <w:rsid w:val="00B32E45"/>
    <w:rsid w:val="00B334FB"/>
    <w:rsid w:val="00B33D37"/>
    <w:rsid w:val="00B34C6A"/>
    <w:rsid w:val="00B352E9"/>
    <w:rsid w:val="00B3570A"/>
    <w:rsid w:val="00B35874"/>
    <w:rsid w:val="00B35B7F"/>
    <w:rsid w:val="00B35BAB"/>
    <w:rsid w:val="00B407BE"/>
    <w:rsid w:val="00B412C7"/>
    <w:rsid w:val="00B41CF4"/>
    <w:rsid w:val="00B421A6"/>
    <w:rsid w:val="00B4291D"/>
    <w:rsid w:val="00B42DE6"/>
    <w:rsid w:val="00B42E7C"/>
    <w:rsid w:val="00B44483"/>
    <w:rsid w:val="00B44CB9"/>
    <w:rsid w:val="00B454DA"/>
    <w:rsid w:val="00B45A61"/>
    <w:rsid w:val="00B4613B"/>
    <w:rsid w:val="00B469C2"/>
    <w:rsid w:val="00B46A02"/>
    <w:rsid w:val="00B46A46"/>
    <w:rsid w:val="00B46A8D"/>
    <w:rsid w:val="00B46AED"/>
    <w:rsid w:val="00B46F54"/>
    <w:rsid w:val="00B47B65"/>
    <w:rsid w:val="00B47BA3"/>
    <w:rsid w:val="00B47EAC"/>
    <w:rsid w:val="00B51305"/>
    <w:rsid w:val="00B51F5E"/>
    <w:rsid w:val="00B5218C"/>
    <w:rsid w:val="00B52385"/>
    <w:rsid w:val="00B5247D"/>
    <w:rsid w:val="00B52903"/>
    <w:rsid w:val="00B53AE4"/>
    <w:rsid w:val="00B54B7A"/>
    <w:rsid w:val="00B552EB"/>
    <w:rsid w:val="00B55C59"/>
    <w:rsid w:val="00B5612A"/>
    <w:rsid w:val="00B5680C"/>
    <w:rsid w:val="00B57988"/>
    <w:rsid w:val="00B60DDC"/>
    <w:rsid w:val="00B611B8"/>
    <w:rsid w:val="00B6139D"/>
    <w:rsid w:val="00B6266B"/>
    <w:rsid w:val="00B631E2"/>
    <w:rsid w:val="00B63CC9"/>
    <w:rsid w:val="00B63D86"/>
    <w:rsid w:val="00B63DDB"/>
    <w:rsid w:val="00B64099"/>
    <w:rsid w:val="00B64831"/>
    <w:rsid w:val="00B64906"/>
    <w:rsid w:val="00B64CB3"/>
    <w:rsid w:val="00B650B1"/>
    <w:rsid w:val="00B6581C"/>
    <w:rsid w:val="00B66750"/>
    <w:rsid w:val="00B6734D"/>
    <w:rsid w:val="00B6737E"/>
    <w:rsid w:val="00B67DC8"/>
    <w:rsid w:val="00B70FE9"/>
    <w:rsid w:val="00B71D67"/>
    <w:rsid w:val="00B72FFE"/>
    <w:rsid w:val="00B73AEA"/>
    <w:rsid w:val="00B73BC5"/>
    <w:rsid w:val="00B73EC7"/>
    <w:rsid w:val="00B74545"/>
    <w:rsid w:val="00B74745"/>
    <w:rsid w:val="00B74E9E"/>
    <w:rsid w:val="00B75DC8"/>
    <w:rsid w:val="00B76783"/>
    <w:rsid w:val="00B76A8F"/>
    <w:rsid w:val="00B76AAB"/>
    <w:rsid w:val="00B76BAA"/>
    <w:rsid w:val="00B77017"/>
    <w:rsid w:val="00B80411"/>
    <w:rsid w:val="00B80515"/>
    <w:rsid w:val="00B81209"/>
    <w:rsid w:val="00B828C4"/>
    <w:rsid w:val="00B850A8"/>
    <w:rsid w:val="00B86D7B"/>
    <w:rsid w:val="00B87229"/>
    <w:rsid w:val="00B876CE"/>
    <w:rsid w:val="00B879FC"/>
    <w:rsid w:val="00B92A54"/>
    <w:rsid w:val="00B93072"/>
    <w:rsid w:val="00B931EC"/>
    <w:rsid w:val="00B93325"/>
    <w:rsid w:val="00B937E0"/>
    <w:rsid w:val="00B937E9"/>
    <w:rsid w:val="00B94238"/>
    <w:rsid w:val="00B94595"/>
    <w:rsid w:val="00B951D7"/>
    <w:rsid w:val="00B96421"/>
    <w:rsid w:val="00B97CFA"/>
    <w:rsid w:val="00B97D2C"/>
    <w:rsid w:val="00BA00A5"/>
    <w:rsid w:val="00BA069F"/>
    <w:rsid w:val="00BA0F98"/>
    <w:rsid w:val="00BA129B"/>
    <w:rsid w:val="00BA13EA"/>
    <w:rsid w:val="00BA165C"/>
    <w:rsid w:val="00BA36F4"/>
    <w:rsid w:val="00BA3DBE"/>
    <w:rsid w:val="00BA52BB"/>
    <w:rsid w:val="00BA5AAC"/>
    <w:rsid w:val="00BA5C3C"/>
    <w:rsid w:val="00BA61D6"/>
    <w:rsid w:val="00BA79C3"/>
    <w:rsid w:val="00BB00EA"/>
    <w:rsid w:val="00BB02AB"/>
    <w:rsid w:val="00BB0F9D"/>
    <w:rsid w:val="00BB1523"/>
    <w:rsid w:val="00BB182F"/>
    <w:rsid w:val="00BB1B84"/>
    <w:rsid w:val="00BB2173"/>
    <w:rsid w:val="00BB2350"/>
    <w:rsid w:val="00BB2656"/>
    <w:rsid w:val="00BB2FB9"/>
    <w:rsid w:val="00BB30E1"/>
    <w:rsid w:val="00BB379E"/>
    <w:rsid w:val="00BB41A5"/>
    <w:rsid w:val="00BB52AD"/>
    <w:rsid w:val="00BB61AA"/>
    <w:rsid w:val="00BB71D9"/>
    <w:rsid w:val="00BC038E"/>
    <w:rsid w:val="00BC062C"/>
    <w:rsid w:val="00BC09B4"/>
    <w:rsid w:val="00BC0BA6"/>
    <w:rsid w:val="00BC2102"/>
    <w:rsid w:val="00BC235B"/>
    <w:rsid w:val="00BC32AF"/>
    <w:rsid w:val="00BC4622"/>
    <w:rsid w:val="00BC49F7"/>
    <w:rsid w:val="00BC6788"/>
    <w:rsid w:val="00BC6994"/>
    <w:rsid w:val="00BD0E7F"/>
    <w:rsid w:val="00BD16E7"/>
    <w:rsid w:val="00BD2332"/>
    <w:rsid w:val="00BD2732"/>
    <w:rsid w:val="00BD30AC"/>
    <w:rsid w:val="00BD3C52"/>
    <w:rsid w:val="00BD4E1A"/>
    <w:rsid w:val="00BD4FAC"/>
    <w:rsid w:val="00BD5746"/>
    <w:rsid w:val="00BD5D92"/>
    <w:rsid w:val="00BD5DC5"/>
    <w:rsid w:val="00BD72E2"/>
    <w:rsid w:val="00BE04C1"/>
    <w:rsid w:val="00BE08DF"/>
    <w:rsid w:val="00BE0DE3"/>
    <w:rsid w:val="00BE0DF0"/>
    <w:rsid w:val="00BE186B"/>
    <w:rsid w:val="00BE1E9D"/>
    <w:rsid w:val="00BE1FD8"/>
    <w:rsid w:val="00BE321F"/>
    <w:rsid w:val="00BE36C2"/>
    <w:rsid w:val="00BE38BE"/>
    <w:rsid w:val="00BE3972"/>
    <w:rsid w:val="00BE58A4"/>
    <w:rsid w:val="00BE684B"/>
    <w:rsid w:val="00BE6CBD"/>
    <w:rsid w:val="00BE6CC4"/>
    <w:rsid w:val="00BE71D8"/>
    <w:rsid w:val="00BE7321"/>
    <w:rsid w:val="00BE7B23"/>
    <w:rsid w:val="00BF0C30"/>
    <w:rsid w:val="00BF1CB0"/>
    <w:rsid w:val="00BF1EB5"/>
    <w:rsid w:val="00BF31E3"/>
    <w:rsid w:val="00BF3EE8"/>
    <w:rsid w:val="00BF4F81"/>
    <w:rsid w:val="00BF632C"/>
    <w:rsid w:val="00BF6C46"/>
    <w:rsid w:val="00BF6FE2"/>
    <w:rsid w:val="00BF7335"/>
    <w:rsid w:val="00BF7386"/>
    <w:rsid w:val="00C009BA"/>
    <w:rsid w:val="00C00AF0"/>
    <w:rsid w:val="00C01F37"/>
    <w:rsid w:val="00C031E8"/>
    <w:rsid w:val="00C036FA"/>
    <w:rsid w:val="00C03774"/>
    <w:rsid w:val="00C04251"/>
    <w:rsid w:val="00C04859"/>
    <w:rsid w:val="00C04A83"/>
    <w:rsid w:val="00C05E50"/>
    <w:rsid w:val="00C06EF6"/>
    <w:rsid w:val="00C06F83"/>
    <w:rsid w:val="00C07E24"/>
    <w:rsid w:val="00C101CE"/>
    <w:rsid w:val="00C10A1E"/>
    <w:rsid w:val="00C10C99"/>
    <w:rsid w:val="00C135F9"/>
    <w:rsid w:val="00C14E1F"/>
    <w:rsid w:val="00C152E5"/>
    <w:rsid w:val="00C1575E"/>
    <w:rsid w:val="00C15875"/>
    <w:rsid w:val="00C1642E"/>
    <w:rsid w:val="00C16C0D"/>
    <w:rsid w:val="00C16E39"/>
    <w:rsid w:val="00C16EC2"/>
    <w:rsid w:val="00C173E4"/>
    <w:rsid w:val="00C17DDC"/>
    <w:rsid w:val="00C204B8"/>
    <w:rsid w:val="00C210E7"/>
    <w:rsid w:val="00C21101"/>
    <w:rsid w:val="00C21214"/>
    <w:rsid w:val="00C21242"/>
    <w:rsid w:val="00C219A7"/>
    <w:rsid w:val="00C22536"/>
    <w:rsid w:val="00C22673"/>
    <w:rsid w:val="00C22F01"/>
    <w:rsid w:val="00C23E34"/>
    <w:rsid w:val="00C247B9"/>
    <w:rsid w:val="00C2541F"/>
    <w:rsid w:val="00C25DAF"/>
    <w:rsid w:val="00C26416"/>
    <w:rsid w:val="00C26619"/>
    <w:rsid w:val="00C26C95"/>
    <w:rsid w:val="00C273D4"/>
    <w:rsid w:val="00C30005"/>
    <w:rsid w:val="00C30C24"/>
    <w:rsid w:val="00C31528"/>
    <w:rsid w:val="00C31E89"/>
    <w:rsid w:val="00C32219"/>
    <w:rsid w:val="00C32600"/>
    <w:rsid w:val="00C32D73"/>
    <w:rsid w:val="00C3328E"/>
    <w:rsid w:val="00C353F3"/>
    <w:rsid w:val="00C3593A"/>
    <w:rsid w:val="00C359DC"/>
    <w:rsid w:val="00C367E9"/>
    <w:rsid w:val="00C3752C"/>
    <w:rsid w:val="00C379AC"/>
    <w:rsid w:val="00C37D25"/>
    <w:rsid w:val="00C40F6C"/>
    <w:rsid w:val="00C40FAF"/>
    <w:rsid w:val="00C413C8"/>
    <w:rsid w:val="00C414AB"/>
    <w:rsid w:val="00C42230"/>
    <w:rsid w:val="00C433AC"/>
    <w:rsid w:val="00C43D9E"/>
    <w:rsid w:val="00C43F5F"/>
    <w:rsid w:val="00C441B4"/>
    <w:rsid w:val="00C44B39"/>
    <w:rsid w:val="00C44C3C"/>
    <w:rsid w:val="00C45619"/>
    <w:rsid w:val="00C46AD6"/>
    <w:rsid w:val="00C47D56"/>
    <w:rsid w:val="00C50243"/>
    <w:rsid w:val="00C5034D"/>
    <w:rsid w:val="00C5058F"/>
    <w:rsid w:val="00C5117C"/>
    <w:rsid w:val="00C5180F"/>
    <w:rsid w:val="00C51DE2"/>
    <w:rsid w:val="00C51F45"/>
    <w:rsid w:val="00C52069"/>
    <w:rsid w:val="00C52227"/>
    <w:rsid w:val="00C52825"/>
    <w:rsid w:val="00C52B1D"/>
    <w:rsid w:val="00C532D4"/>
    <w:rsid w:val="00C53464"/>
    <w:rsid w:val="00C535F8"/>
    <w:rsid w:val="00C539ED"/>
    <w:rsid w:val="00C53B50"/>
    <w:rsid w:val="00C54381"/>
    <w:rsid w:val="00C55102"/>
    <w:rsid w:val="00C562BD"/>
    <w:rsid w:val="00C56892"/>
    <w:rsid w:val="00C57F14"/>
    <w:rsid w:val="00C606F4"/>
    <w:rsid w:val="00C60E55"/>
    <w:rsid w:val="00C60F41"/>
    <w:rsid w:val="00C62530"/>
    <w:rsid w:val="00C6482C"/>
    <w:rsid w:val="00C64858"/>
    <w:rsid w:val="00C65475"/>
    <w:rsid w:val="00C661A1"/>
    <w:rsid w:val="00C67360"/>
    <w:rsid w:val="00C676BA"/>
    <w:rsid w:val="00C67DCF"/>
    <w:rsid w:val="00C67F8E"/>
    <w:rsid w:val="00C71758"/>
    <w:rsid w:val="00C72AF2"/>
    <w:rsid w:val="00C7424B"/>
    <w:rsid w:val="00C74477"/>
    <w:rsid w:val="00C74D84"/>
    <w:rsid w:val="00C756EA"/>
    <w:rsid w:val="00C75846"/>
    <w:rsid w:val="00C75D98"/>
    <w:rsid w:val="00C75F3E"/>
    <w:rsid w:val="00C81479"/>
    <w:rsid w:val="00C83700"/>
    <w:rsid w:val="00C83715"/>
    <w:rsid w:val="00C83B61"/>
    <w:rsid w:val="00C84B2E"/>
    <w:rsid w:val="00C861F2"/>
    <w:rsid w:val="00C862FE"/>
    <w:rsid w:val="00C87338"/>
    <w:rsid w:val="00C9031A"/>
    <w:rsid w:val="00C90D6E"/>
    <w:rsid w:val="00C91870"/>
    <w:rsid w:val="00C92288"/>
    <w:rsid w:val="00C92672"/>
    <w:rsid w:val="00C928DC"/>
    <w:rsid w:val="00C93030"/>
    <w:rsid w:val="00C93BD7"/>
    <w:rsid w:val="00C943A5"/>
    <w:rsid w:val="00C94C9F"/>
    <w:rsid w:val="00C97955"/>
    <w:rsid w:val="00C97BE2"/>
    <w:rsid w:val="00CA059D"/>
    <w:rsid w:val="00CA0EAD"/>
    <w:rsid w:val="00CA1327"/>
    <w:rsid w:val="00CA148C"/>
    <w:rsid w:val="00CA19B9"/>
    <w:rsid w:val="00CA2153"/>
    <w:rsid w:val="00CA22ED"/>
    <w:rsid w:val="00CA41DC"/>
    <w:rsid w:val="00CA41E9"/>
    <w:rsid w:val="00CA589A"/>
    <w:rsid w:val="00CA589E"/>
    <w:rsid w:val="00CA5C76"/>
    <w:rsid w:val="00CA5E3D"/>
    <w:rsid w:val="00CA6001"/>
    <w:rsid w:val="00CA63CC"/>
    <w:rsid w:val="00CA66BC"/>
    <w:rsid w:val="00CA6E9D"/>
    <w:rsid w:val="00CA72BA"/>
    <w:rsid w:val="00CA7E59"/>
    <w:rsid w:val="00CB03C7"/>
    <w:rsid w:val="00CB0600"/>
    <w:rsid w:val="00CB1DD0"/>
    <w:rsid w:val="00CB272B"/>
    <w:rsid w:val="00CB2A05"/>
    <w:rsid w:val="00CB2B45"/>
    <w:rsid w:val="00CB2FC5"/>
    <w:rsid w:val="00CB3253"/>
    <w:rsid w:val="00CB3475"/>
    <w:rsid w:val="00CB3E08"/>
    <w:rsid w:val="00CB40BD"/>
    <w:rsid w:val="00CB5252"/>
    <w:rsid w:val="00CB5917"/>
    <w:rsid w:val="00CB5FB7"/>
    <w:rsid w:val="00CB60F6"/>
    <w:rsid w:val="00CB6313"/>
    <w:rsid w:val="00CB6B49"/>
    <w:rsid w:val="00CB7CDC"/>
    <w:rsid w:val="00CC0CFE"/>
    <w:rsid w:val="00CC0F88"/>
    <w:rsid w:val="00CC127B"/>
    <w:rsid w:val="00CC1EF0"/>
    <w:rsid w:val="00CC25C8"/>
    <w:rsid w:val="00CC270A"/>
    <w:rsid w:val="00CC2B32"/>
    <w:rsid w:val="00CC2D02"/>
    <w:rsid w:val="00CC30E0"/>
    <w:rsid w:val="00CC3776"/>
    <w:rsid w:val="00CC4DAC"/>
    <w:rsid w:val="00CC68B2"/>
    <w:rsid w:val="00CC698A"/>
    <w:rsid w:val="00CC763E"/>
    <w:rsid w:val="00CC7A35"/>
    <w:rsid w:val="00CC7DC5"/>
    <w:rsid w:val="00CD1883"/>
    <w:rsid w:val="00CD228A"/>
    <w:rsid w:val="00CD2755"/>
    <w:rsid w:val="00CD372F"/>
    <w:rsid w:val="00CD42E1"/>
    <w:rsid w:val="00CD4460"/>
    <w:rsid w:val="00CD4AF9"/>
    <w:rsid w:val="00CD5F9D"/>
    <w:rsid w:val="00CD6B04"/>
    <w:rsid w:val="00CD6D43"/>
    <w:rsid w:val="00CD7795"/>
    <w:rsid w:val="00CD7F66"/>
    <w:rsid w:val="00CE0212"/>
    <w:rsid w:val="00CE0281"/>
    <w:rsid w:val="00CE13C6"/>
    <w:rsid w:val="00CE234B"/>
    <w:rsid w:val="00CE25C4"/>
    <w:rsid w:val="00CE2CD7"/>
    <w:rsid w:val="00CE3018"/>
    <w:rsid w:val="00CE43FD"/>
    <w:rsid w:val="00CE4480"/>
    <w:rsid w:val="00CE4637"/>
    <w:rsid w:val="00CE4FAD"/>
    <w:rsid w:val="00CE56C8"/>
    <w:rsid w:val="00CE5BFE"/>
    <w:rsid w:val="00CE67C3"/>
    <w:rsid w:val="00CE6ACA"/>
    <w:rsid w:val="00CE6C03"/>
    <w:rsid w:val="00CE7B91"/>
    <w:rsid w:val="00CE7E64"/>
    <w:rsid w:val="00CF020A"/>
    <w:rsid w:val="00CF0B35"/>
    <w:rsid w:val="00CF0C10"/>
    <w:rsid w:val="00CF1512"/>
    <w:rsid w:val="00CF20D8"/>
    <w:rsid w:val="00CF2421"/>
    <w:rsid w:val="00CF2F74"/>
    <w:rsid w:val="00CF412B"/>
    <w:rsid w:val="00CF4309"/>
    <w:rsid w:val="00CF5E01"/>
    <w:rsid w:val="00CF734E"/>
    <w:rsid w:val="00CF750C"/>
    <w:rsid w:val="00CF773C"/>
    <w:rsid w:val="00CF7F0D"/>
    <w:rsid w:val="00D00101"/>
    <w:rsid w:val="00D00229"/>
    <w:rsid w:val="00D00D26"/>
    <w:rsid w:val="00D0158A"/>
    <w:rsid w:val="00D029C5"/>
    <w:rsid w:val="00D04727"/>
    <w:rsid w:val="00D0680D"/>
    <w:rsid w:val="00D07633"/>
    <w:rsid w:val="00D10070"/>
    <w:rsid w:val="00D116F1"/>
    <w:rsid w:val="00D12115"/>
    <w:rsid w:val="00D15CA3"/>
    <w:rsid w:val="00D15FA1"/>
    <w:rsid w:val="00D16266"/>
    <w:rsid w:val="00D16754"/>
    <w:rsid w:val="00D16B8B"/>
    <w:rsid w:val="00D2055B"/>
    <w:rsid w:val="00D20F36"/>
    <w:rsid w:val="00D21806"/>
    <w:rsid w:val="00D22FDF"/>
    <w:rsid w:val="00D23390"/>
    <w:rsid w:val="00D245D2"/>
    <w:rsid w:val="00D24E13"/>
    <w:rsid w:val="00D25291"/>
    <w:rsid w:val="00D253C6"/>
    <w:rsid w:val="00D25FC1"/>
    <w:rsid w:val="00D2638A"/>
    <w:rsid w:val="00D26C72"/>
    <w:rsid w:val="00D278D6"/>
    <w:rsid w:val="00D31832"/>
    <w:rsid w:val="00D32773"/>
    <w:rsid w:val="00D32890"/>
    <w:rsid w:val="00D33FC6"/>
    <w:rsid w:val="00D3480D"/>
    <w:rsid w:val="00D354E5"/>
    <w:rsid w:val="00D35C4E"/>
    <w:rsid w:val="00D36660"/>
    <w:rsid w:val="00D3690C"/>
    <w:rsid w:val="00D37455"/>
    <w:rsid w:val="00D4003F"/>
    <w:rsid w:val="00D4057A"/>
    <w:rsid w:val="00D40B62"/>
    <w:rsid w:val="00D40ED4"/>
    <w:rsid w:val="00D41041"/>
    <w:rsid w:val="00D415D9"/>
    <w:rsid w:val="00D42F1F"/>
    <w:rsid w:val="00D43B28"/>
    <w:rsid w:val="00D43C77"/>
    <w:rsid w:val="00D4415D"/>
    <w:rsid w:val="00D4596F"/>
    <w:rsid w:val="00D459C4"/>
    <w:rsid w:val="00D4606F"/>
    <w:rsid w:val="00D4610E"/>
    <w:rsid w:val="00D4621C"/>
    <w:rsid w:val="00D46730"/>
    <w:rsid w:val="00D469FE"/>
    <w:rsid w:val="00D46AD4"/>
    <w:rsid w:val="00D5128E"/>
    <w:rsid w:val="00D517C2"/>
    <w:rsid w:val="00D5187E"/>
    <w:rsid w:val="00D51950"/>
    <w:rsid w:val="00D522EE"/>
    <w:rsid w:val="00D52BBB"/>
    <w:rsid w:val="00D52DEA"/>
    <w:rsid w:val="00D535BE"/>
    <w:rsid w:val="00D537DC"/>
    <w:rsid w:val="00D53AD2"/>
    <w:rsid w:val="00D53CD7"/>
    <w:rsid w:val="00D5405B"/>
    <w:rsid w:val="00D54256"/>
    <w:rsid w:val="00D54C23"/>
    <w:rsid w:val="00D54EAC"/>
    <w:rsid w:val="00D5599E"/>
    <w:rsid w:val="00D561AA"/>
    <w:rsid w:val="00D562AF"/>
    <w:rsid w:val="00D5675E"/>
    <w:rsid w:val="00D569F6"/>
    <w:rsid w:val="00D56C0E"/>
    <w:rsid w:val="00D61398"/>
    <w:rsid w:val="00D618C3"/>
    <w:rsid w:val="00D61E98"/>
    <w:rsid w:val="00D61F3A"/>
    <w:rsid w:val="00D62726"/>
    <w:rsid w:val="00D62D0E"/>
    <w:rsid w:val="00D630CC"/>
    <w:rsid w:val="00D63A09"/>
    <w:rsid w:val="00D64338"/>
    <w:rsid w:val="00D659B9"/>
    <w:rsid w:val="00D66364"/>
    <w:rsid w:val="00D669CC"/>
    <w:rsid w:val="00D66FF5"/>
    <w:rsid w:val="00D670FA"/>
    <w:rsid w:val="00D67978"/>
    <w:rsid w:val="00D67FCE"/>
    <w:rsid w:val="00D7118B"/>
    <w:rsid w:val="00D71513"/>
    <w:rsid w:val="00D71F99"/>
    <w:rsid w:val="00D72089"/>
    <w:rsid w:val="00D72763"/>
    <w:rsid w:val="00D731FE"/>
    <w:rsid w:val="00D73FC3"/>
    <w:rsid w:val="00D743BA"/>
    <w:rsid w:val="00D74861"/>
    <w:rsid w:val="00D74C4E"/>
    <w:rsid w:val="00D759EB"/>
    <w:rsid w:val="00D75A3D"/>
    <w:rsid w:val="00D76895"/>
    <w:rsid w:val="00D76E86"/>
    <w:rsid w:val="00D772A3"/>
    <w:rsid w:val="00D80074"/>
    <w:rsid w:val="00D818C1"/>
    <w:rsid w:val="00D818C8"/>
    <w:rsid w:val="00D834B9"/>
    <w:rsid w:val="00D83C64"/>
    <w:rsid w:val="00D842B4"/>
    <w:rsid w:val="00D84382"/>
    <w:rsid w:val="00D8476B"/>
    <w:rsid w:val="00D85DAF"/>
    <w:rsid w:val="00D87067"/>
    <w:rsid w:val="00D87441"/>
    <w:rsid w:val="00D877AC"/>
    <w:rsid w:val="00D87A50"/>
    <w:rsid w:val="00D9037C"/>
    <w:rsid w:val="00D9129A"/>
    <w:rsid w:val="00D92015"/>
    <w:rsid w:val="00D92086"/>
    <w:rsid w:val="00D92CC6"/>
    <w:rsid w:val="00D93F1D"/>
    <w:rsid w:val="00D944AF"/>
    <w:rsid w:val="00D94648"/>
    <w:rsid w:val="00D9492A"/>
    <w:rsid w:val="00D9550A"/>
    <w:rsid w:val="00D967F9"/>
    <w:rsid w:val="00D96AB6"/>
    <w:rsid w:val="00D97661"/>
    <w:rsid w:val="00D977C8"/>
    <w:rsid w:val="00D97BE9"/>
    <w:rsid w:val="00D97F2D"/>
    <w:rsid w:val="00DA11FF"/>
    <w:rsid w:val="00DA1373"/>
    <w:rsid w:val="00DA1407"/>
    <w:rsid w:val="00DA2A75"/>
    <w:rsid w:val="00DA4006"/>
    <w:rsid w:val="00DA4CDB"/>
    <w:rsid w:val="00DA4DED"/>
    <w:rsid w:val="00DA58A4"/>
    <w:rsid w:val="00DA59F3"/>
    <w:rsid w:val="00DA5C69"/>
    <w:rsid w:val="00DA5D93"/>
    <w:rsid w:val="00DA6BFE"/>
    <w:rsid w:val="00DA7007"/>
    <w:rsid w:val="00DA7C35"/>
    <w:rsid w:val="00DA7F70"/>
    <w:rsid w:val="00DB069D"/>
    <w:rsid w:val="00DB0710"/>
    <w:rsid w:val="00DB1253"/>
    <w:rsid w:val="00DB1711"/>
    <w:rsid w:val="00DB188C"/>
    <w:rsid w:val="00DB2909"/>
    <w:rsid w:val="00DB2D29"/>
    <w:rsid w:val="00DB3BC1"/>
    <w:rsid w:val="00DB57A5"/>
    <w:rsid w:val="00DB5D32"/>
    <w:rsid w:val="00DB7725"/>
    <w:rsid w:val="00DC030E"/>
    <w:rsid w:val="00DC1AB5"/>
    <w:rsid w:val="00DC1E9C"/>
    <w:rsid w:val="00DC283E"/>
    <w:rsid w:val="00DC3104"/>
    <w:rsid w:val="00DC313B"/>
    <w:rsid w:val="00DC39C5"/>
    <w:rsid w:val="00DC3D5C"/>
    <w:rsid w:val="00DC4CD5"/>
    <w:rsid w:val="00DC5525"/>
    <w:rsid w:val="00DC5CF8"/>
    <w:rsid w:val="00DC6D37"/>
    <w:rsid w:val="00DC7033"/>
    <w:rsid w:val="00DC710C"/>
    <w:rsid w:val="00DD03BA"/>
    <w:rsid w:val="00DD1BEE"/>
    <w:rsid w:val="00DD2559"/>
    <w:rsid w:val="00DD26EA"/>
    <w:rsid w:val="00DD282B"/>
    <w:rsid w:val="00DD3D88"/>
    <w:rsid w:val="00DD400A"/>
    <w:rsid w:val="00DD42E6"/>
    <w:rsid w:val="00DD5C45"/>
    <w:rsid w:val="00DD5ECB"/>
    <w:rsid w:val="00DD6079"/>
    <w:rsid w:val="00DE0523"/>
    <w:rsid w:val="00DE087D"/>
    <w:rsid w:val="00DE0AFE"/>
    <w:rsid w:val="00DE18F1"/>
    <w:rsid w:val="00DE21C3"/>
    <w:rsid w:val="00DE3BA3"/>
    <w:rsid w:val="00DE4DAE"/>
    <w:rsid w:val="00DE6C0A"/>
    <w:rsid w:val="00DE6FB5"/>
    <w:rsid w:val="00DE7AA2"/>
    <w:rsid w:val="00DE7F54"/>
    <w:rsid w:val="00DF0D42"/>
    <w:rsid w:val="00DF10AC"/>
    <w:rsid w:val="00DF2406"/>
    <w:rsid w:val="00DF2667"/>
    <w:rsid w:val="00DF270A"/>
    <w:rsid w:val="00DF2A43"/>
    <w:rsid w:val="00DF2D60"/>
    <w:rsid w:val="00DF3A53"/>
    <w:rsid w:val="00DF4FFB"/>
    <w:rsid w:val="00DF512E"/>
    <w:rsid w:val="00DF51B4"/>
    <w:rsid w:val="00DF55BA"/>
    <w:rsid w:val="00DF5B5C"/>
    <w:rsid w:val="00DF67B6"/>
    <w:rsid w:val="00DF7A2C"/>
    <w:rsid w:val="00E00192"/>
    <w:rsid w:val="00E001E7"/>
    <w:rsid w:val="00E006BE"/>
    <w:rsid w:val="00E00C5B"/>
    <w:rsid w:val="00E01005"/>
    <w:rsid w:val="00E016A5"/>
    <w:rsid w:val="00E0181B"/>
    <w:rsid w:val="00E022B0"/>
    <w:rsid w:val="00E02E2E"/>
    <w:rsid w:val="00E03BA7"/>
    <w:rsid w:val="00E045DA"/>
    <w:rsid w:val="00E04EAA"/>
    <w:rsid w:val="00E06091"/>
    <w:rsid w:val="00E063FB"/>
    <w:rsid w:val="00E06D1C"/>
    <w:rsid w:val="00E06E2A"/>
    <w:rsid w:val="00E06F13"/>
    <w:rsid w:val="00E06F80"/>
    <w:rsid w:val="00E071A0"/>
    <w:rsid w:val="00E07D27"/>
    <w:rsid w:val="00E107A5"/>
    <w:rsid w:val="00E11EAB"/>
    <w:rsid w:val="00E126F7"/>
    <w:rsid w:val="00E13162"/>
    <w:rsid w:val="00E136C0"/>
    <w:rsid w:val="00E139CC"/>
    <w:rsid w:val="00E142BC"/>
    <w:rsid w:val="00E14752"/>
    <w:rsid w:val="00E15F9C"/>
    <w:rsid w:val="00E163FE"/>
    <w:rsid w:val="00E17581"/>
    <w:rsid w:val="00E17657"/>
    <w:rsid w:val="00E200B5"/>
    <w:rsid w:val="00E21200"/>
    <w:rsid w:val="00E2145E"/>
    <w:rsid w:val="00E21A53"/>
    <w:rsid w:val="00E221F5"/>
    <w:rsid w:val="00E224B4"/>
    <w:rsid w:val="00E24404"/>
    <w:rsid w:val="00E249D6"/>
    <w:rsid w:val="00E25F8E"/>
    <w:rsid w:val="00E260D8"/>
    <w:rsid w:val="00E26215"/>
    <w:rsid w:val="00E2648D"/>
    <w:rsid w:val="00E26878"/>
    <w:rsid w:val="00E27647"/>
    <w:rsid w:val="00E277C1"/>
    <w:rsid w:val="00E301F1"/>
    <w:rsid w:val="00E30369"/>
    <w:rsid w:val="00E309EE"/>
    <w:rsid w:val="00E30FB0"/>
    <w:rsid w:val="00E315AE"/>
    <w:rsid w:val="00E32B9C"/>
    <w:rsid w:val="00E32BA9"/>
    <w:rsid w:val="00E32DF2"/>
    <w:rsid w:val="00E3390C"/>
    <w:rsid w:val="00E34768"/>
    <w:rsid w:val="00E35544"/>
    <w:rsid w:val="00E35AB7"/>
    <w:rsid w:val="00E36F7F"/>
    <w:rsid w:val="00E371FA"/>
    <w:rsid w:val="00E37436"/>
    <w:rsid w:val="00E37EAF"/>
    <w:rsid w:val="00E37F63"/>
    <w:rsid w:val="00E40E25"/>
    <w:rsid w:val="00E424E4"/>
    <w:rsid w:val="00E426B8"/>
    <w:rsid w:val="00E42EB5"/>
    <w:rsid w:val="00E437AE"/>
    <w:rsid w:val="00E43A7C"/>
    <w:rsid w:val="00E43F55"/>
    <w:rsid w:val="00E43FFF"/>
    <w:rsid w:val="00E4424D"/>
    <w:rsid w:val="00E45A63"/>
    <w:rsid w:val="00E4646F"/>
    <w:rsid w:val="00E46843"/>
    <w:rsid w:val="00E50036"/>
    <w:rsid w:val="00E503DE"/>
    <w:rsid w:val="00E50979"/>
    <w:rsid w:val="00E50FF2"/>
    <w:rsid w:val="00E5102C"/>
    <w:rsid w:val="00E51A4C"/>
    <w:rsid w:val="00E51DFE"/>
    <w:rsid w:val="00E52524"/>
    <w:rsid w:val="00E5273B"/>
    <w:rsid w:val="00E52894"/>
    <w:rsid w:val="00E534FB"/>
    <w:rsid w:val="00E536F6"/>
    <w:rsid w:val="00E53A77"/>
    <w:rsid w:val="00E53D48"/>
    <w:rsid w:val="00E55803"/>
    <w:rsid w:val="00E5645D"/>
    <w:rsid w:val="00E566B1"/>
    <w:rsid w:val="00E56CAD"/>
    <w:rsid w:val="00E57772"/>
    <w:rsid w:val="00E57A02"/>
    <w:rsid w:val="00E57DD3"/>
    <w:rsid w:val="00E602BF"/>
    <w:rsid w:val="00E60B81"/>
    <w:rsid w:val="00E60F3F"/>
    <w:rsid w:val="00E61032"/>
    <w:rsid w:val="00E62F6B"/>
    <w:rsid w:val="00E63658"/>
    <w:rsid w:val="00E6396B"/>
    <w:rsid w:val="00E63D6C"/>
    <w:rsid w:val="00E6429E"/>
    <w:rsid w:val="00E649C0"/>
    <w:rsid w:val="00E64DB4"/>
    <w:rsid w:val="00E64E7E"/>
    <w:rsid w:val="00E65578"/>
    <w:rsid w:val="00E65C39"/>
    <w:rsid w:val="00E6640C"/>
    <w:rsid w:val="00E66534"/>
    <w:rsid w:val="00E66B4B"/>
    <w:rsid w:val="00E66F45"/>
    <w:rsid w:val="00E70296"/>
    <w:rsid w:val="00E7061E"/>
    <w:rsid w:val="00E70E9C"/>
    <w:rsid w:val="00E714FD"/>
    <w:rsid w:val="00E71632"/>
    <w:rsid w:val="00E716A2"/>
    <w:rsid w:val="00E718A9"/>
    <w:rsid w:val="00E72286"/>
    <w:rsid w:val="00E72804"/>
    <w:rsid w:val="00E72C58"/>
    <w:rsid w:val="00E730E0"/>
    <w:rsid w:val="00E739A8"/>
    <w:rsid w:val="00E73AB4"/>
    <w:rsid w:val="00E73E7E"/>
    <w:rsid w:val="00E73ECB"/>
    <w:rsid w:val="00E74A3D"/>
    <w:rsid w:val="00E75D92"/>
    <w:rsid w:val="00E76B98"/>
    <w:rsid w:val="00E76C00"/>
    <w:rsid w:val="00E81DAB"/>
    <w:rsid w:val="00E81F34"/>
    <w:rsid w:val="00E81F8B"/>
    <w:rsid w:val="00E83C6B"/>
    <w:rsid w:val="00E849F7"/>
    <w:rsid w:val="00E85545"/>
    <w:rsid w:val="00E856B8"/>
    <w:rsid w:val="00E85A46"/>
    <w:rsid w:val="00E85C35"/>
    <w:rsid w:val="00E86396"/>
    <w:rsid w:val="00E86CC3"/>
    <w:rsid w:val="00E9018D"/>
    <w:rsid w:val="00E919B3"/>
    <w:rsid w:val="00E92283"/>
    <w:rsid w:val="00E92495"/>
    <w:rsid w:val="00E92862"/>
    <w:rsid w:val="00E92C5A"/>
    <w:rsid w:val="00E9322B"/>
    <w:rsid w:val="00E93558"/>
    <w:rsid w:val="00E9376C"/>
    <w:rsid w:val="00E93C39"/>
    <w:rsid w:val="00E94A36"/>
    <w:rsid w:val="00E9542E"/>
    <w:rsid w:val="00E95C24"/>
    <w:rsid w:val="00E977C0"/>
    <w:rsid w:val="00E97D9E"/>
    <w:rsid w:val="00E97F7E"/>
    <w:rsid w:val="00EA0F47"/>
    <w:rsid w:val="00EA2084"/>
    <w:rsid w:val="00EA262A"/>
    <w:rsid w:val="00EA26E9"/>
    <w:rsid w:val="00EA2AD1"/>
    <w:rsid w:val="00EA2EEF"/>
    <w:rsid w:val="00EA3659"/>
    <w:rsid w:val="00EA4956"/>
    <w:rsid w:val="00EA4F46"/>
    <w:rsid w:val="00EA50A6"/>
    <w:rsid w:val="00EA60EF"/>
    <w:rsid w:val="00EA6535"/>
    <w:rsid w:val="00EA6AF9"/>
    <w:rsid w:val="00EA7065"/>
    <w:rsid w:val="00EA70A2"/>
    <w:rsid w:val="00EA76F5"/>
    <w:rsid w:val="00EB0154"/>
    <w:rsid w:val="00EB02A6"/>
    <w:rsid w:val="00EB0386"/>
    <w:rsid w:val="00EB07FC"/>
    <w:rsid w:val="00EB13C0"/>
    <w:rsid w:val="00EB14A8"/>
    <w:rsid w:val="00EB1974"/>
    <w:rsid w:val="00EB1EEC"/>
    <w:rsid w:val="00EB1FE4"/>
    <w:rsid w:val="00EB2B60"/>
    <w:rsid w:val="00EB332B"/>
    <w:rsid w:val="00EB3FAF"/>
    <w:rsid w:val="00EB48B6"/>
    <w:rsid w:val="00EB53BC"/>
    <w:rsid w:val="00EB5905"/>
    <w:rsid w:val="00EB5D29"/>
    <w:rsid w:val="00EB6364"/>
    <w:rsid w:val="00EB6BE9"/>
    <w:rsid w:val="00EB7CAC"/>
    <w:rsid w:val="00EB7E6A"/>
    <w:rsid w:val="00EC05F8"/>
    <w:rsid w:val="00EC0628"/>
    <w:rsid w:val="00EC0B41"/>
    <w:rsid w:val="00EC0F9E"/>
    <w:rsid w:val="00EC18D0"/>
    <w:rsid w:val="00EC2083"/>
    <w:rsid w:val="00EC327A"/>
    <w:rsid w:val="00EC3666"/>
    <w:rsid w:val="00EC36C6"/>
    <w:rsid w:val="00EC381B"/>
    <w:rsid w:val="00EC3BAC"/>
    <w:rsid w:val="00EC3FFD"/>
    <w:rsid w:val="00EC4223"/>
    <w:rsid w:val="00EC4643"/>
    <w:rsid w:val="00EC477F"/>
    <w:rsid w:val="00EC4B1E"/>
    <w:rsid w:val="00EC4EA7"/>
    <w:rsid w:val="00EC5054"/>
    <w:rsid w:val="00EC6457"/>
    <w:rsid w:val="00ED064C"/>
    <w:rsid w:val="00ED07AD"/>
    <w:rsid w:val="00ED0896"/>
    <w:rsid w:val="00ED13C2"/>
    <w:rsid w:val="00ED2556"/>
    <w:rsid w:val="00ED2E64"/>
    <w:rsid w:val="00ED4061"/>
    <w:rsid w:val="00ED47EF"/>
    <w:rsid w:val="00ED5EE5"/>
    <w:rsid w:val="00ED5EF8"/>
    <w:rsid w:val="00ED620A"/>
    <w:rsid w:val="00ED66F6"/>
    <w:rsid w:val="00ED6EB3"/>
    <w:rsid w:val="00ED7144"/>
    <w:rsid w:val="00EE0059"/>
    <w:rsid w:val="00EE04DD"/>
    <w:rsid w:val="00EE1223"/>
    <w:rsid w:val="00EE1823"/>
    <w:rsid w:val="00EE2577"/>
    <w:rsid w:val="00EE3009"/>
    <w:rsid w:val="00EE342F"/>
    <w:rsid w:val="00EE3882"/>
    <w:rsid w:val="00EE590B"/>
    <w:rsid w:val="00EE6164"/>
    <w:rsid w:val="00EE617B"/>
    <w:rsid w:val="00EE6F86"/>
    <w:rsid w:val="00EF0A0A"/>
    <w:rsid w:val="00EF0CEE"/>
    <w:rsid w:val="00EF1543"/>
    <w:rsid w:val="00EF1757"/>
    <w:rsid w:val="00EF266F"/>
    <w:rsid w:val="00EF2F70"/>
    <w:rsid w:val="00EF2FCD"/>
    <w:rsid w:val="00EF37B1"/>
    <w:rsid w:val="00EF4852"/>
    <w:rsid w:val="00EF52A6"/>
    <w:rsid w:val="00EF56E2"/>
    <w:rsid w:val="00EF575F"/>
    <w:rsid w:val="00EF5763"/>
    <w:rsid w:val="00EF5AD0"/>
    <w:rsid w:val="00EF5FA1"/>
    <w:rsid w:val="00EF654E"/>
    <w:rsid w:val="00EF6DC7"/>
    <w:rsid w:val="00F0019B"/>
    <w:rsid w:val="00F00C9B"/>
    <w:rsid w:val="00F013FD"/>
    <w:rsid w:val="00F01678"/>
    <w:rsid w:val="00F01853"/>
    <w:rsid w:val="00F02460"/>
    <w:rsid w:val="00F02491"/>
    <w:rsid w:val="00F02C9D"/>
    <w:rsid w:val="00F02FFD"/>
    <w:rsid w:val="00F03955"/>
    <w:rsid w:val="00F0449D"/>
    <w:rsid w:val="00F0451A"/>
    <w:rsid w:val="00F04A4D"/>
    <w:rsid w:val="00F0552C"/>
    <w:rsid w:val="00F0555E"/>
    <w:rsid w:val="00F05D45"/>
    <w:rsid w:val="00F06106"/>
    <w:rsid w:val="00F06973"/>
    <w:rsid w:val="00F06FEA"/>
    <w:rsid w:val="00F11BDC"/>
    <w:rsid w:val="00F120CD"/>
    <w:rsid w:val="00F1280A"/>
    <w:rsid w:val="00F13CCB"/>
    <w:rsid w:val="00F14767"/>
    <w:rsid w:val="00F1573D"/>
    <w:rsid w:val="00F1582C"/>
    <w:rsid w:val="00F15904"/>
    <w:rsid w:val="00F17454"/>
    <w:rsid w:val="00F179F8"/>
    <w:rsid w:val="00F17BB8"/>
    <w:rsid w:val="00F205E0"/>
    <w:rsid w:val="00F20A4E"/>
    <w:rsid w:val="00F20C30"/>
    <w:rsid w:val="00F20EE9"/>
    <w:rsid w:val="00F219CC"/>
    <w:rsid w:val="00F21E66"/>
    <w:rsid w:val="00F223DF"/>
    <w:rsid w:val="00F23540"/>
    <w:rsid w:val="00F2398A"/>
    <w:rsid w:val="00F24332"/>
    <w:rsid w:val="00F258D5"/>
    <w:rsid w:val="00F25B04"/>
    <w:rsid w:val="00F2715C"/>
    <w:rsid w:val="00F27410"/>
    <w:rsid w:val="00F3002C"/>
    <w:rsid w:val="00F3069C"/>
    <w:rsid w:val="00F30760"/>
    <w:rsid w:val="00F32F68"/>
    <w:rsid w:val="00F32F98"/>
    <w:rsid w:val="00F33C53"/>
    <w:rsid w:val="00F3580B"/>
    <w:rsid w:val="00F35988"/>
    <w:rsid w:val="00F36057"/>
    <w:rsid w:val="00F3686F"/>
    <w:rsid w:val="00F377C6"/>
    <w:rsid w:val="00F40CCD"/>
    <w:rsid w:val="00F41566"/>
    <w:rsid w:val="00F4194F"/>
    <w:rsid w:val="00F420C6"/>
    <w:rsid w:val="00F44314"/>
    <w:rsid w:val="00F468EB"/>
    <w:rsid w:val="00F46BD6"/>
    <w:rsid w:val="00F470B2"/>
    <w:rsid w:val="00F47251"/>
    <w:rsid w:val="00F47CC7"/>
    <w:rsid w:val="00F50713"/>
    <w:rsid w:val="00F50ADE"/>
    <w:rsid w:val="00F5398F"/>
    <w:rsid w:val="00F54A46"/>
    <w:rsid w:val="00F55739"/>
    <w:rsid w:val="00F60397"/>
    <w:rsid w:val="00F604EE"/>
    <w:rsid w:val="00F604F3"/>
    <w:rsid w:val="00F60530"/>
    <w:rsid w:val="00F61F37"/>
    <w:rsid w:val="00F62146"/>
    <w:rsid w:val="00F62647"/>
    <w:rsid w:val="00F63804"/>
    <w:rsid w:val="00F63BDE"/>
    <w:rsid w:val="00F6404C"/>
    <w:rsid w:val="00F6437C"/>
    <w:rsid w:val="00F6499B"/>
    <w:rsid w:val="00F64B4A"/>
    <w:rsid w:val="00F65609"/>
    <w:rsid w:val="00F656F5"/>
    <w:rsid w:val="00F65A9F"/>
    <w:rsid w:val="00F66644"/>
    <w:rsid w:val="00F6681B"/>
    <w:rsid w:val="00F66B63"/>
    <w:rsid w:val="00F66C64"/>
    <w:rsid w:val="00F67401"/>
    <w:rsid w:val="00F70884"/>
    <w:rsid w:val="00F70C79"/>
    <w:rsid w:val="00F70C81"/>
    <w:rsid w:val="00F71641"/>
    <w:rsid w:val="00F7194A"/>
    <w:rsid w:val="00F72C93"/>
    <w:rsid w:val="00F72F4E"/>
    <w:rsid w:val="00F732C0"/>
    <w:rsid w:val="00F74078"/>
    <w:rsid w:val="00F741BE"/>
    <w:rsid w:val="00F769AB"/>
    <w:rsid w:val="00F7799C"/>
    <w:rsid w:val="00F77FF1"/>
    <w:rsid w:val="00F80242"/>
    <w:rsid w:val="00F80513"/>
    <w:rsid w:val="00F80D6C"/>
    <w:rsid w:val="00F813C6"/>
    <w:rsid w:val="00F82C8C"/>
    <w:rsid w:val="00F83505"/>
    <w:rsid w:val="00F862A2"/>
    <w:rsid w:val="00F86F2A"/>
    <w:rsid w:val="00F8719D"/>
    <w:rsid w:val="00F876A5"/>
    <w:rsid w:val="00F87F80"/>
    <w:rsid w:val="00F900E3"/>
    <w:rsid w:val="00F90659"/>
    <w:rsid w:val="00F91B43"/>
    <w:rsid w:val="00F91EF0"/>
    <w:rsid w:val="00F9231E"/>
    <w:rsid w:val="00F929D9"/>
    <w:rsid w:val="00F92A5C"/>
    <w:rsid w:val="00F92DF3"/>
    <w:rsid w:val="00F93301"/>
    <w:rsid w:val="00F936A8"/>
    <w:rsid w:val="00F939DB"/>
    <w:rsid w:val="00F93AAA"/>
    <w:rsid w:val="00F93F06"/>
    <w:rsid w:val="00F94417"/>
    <w:rsid w:val="00F95657"/>
    <w:rsid w:val="00F96319"/>
    <w:rsid w:val="00F9639A"/>
    <w:rsid w:val="00F965A3"/>
    <w:rsid w:val="00F9689C"/>
    <w:rsid w:val="00F9699E"/>
    <w:rsid w:val="00F97152"/>
    <w:rsid w:val="00F97444"/>
    <w:rsid w:val="00F9764A"/>
    <w:rsid w:val="00F9781C"/>
    <w:rsid w:val="00FA158F"/>
    <w:rsid w:val="00FA18D9"/>
    <w:rsid w:val="00FA1E04"/>
    <w:rsid w:val="00FA1F4B"/>
    <w:rsid w:val="00FA3A82"/>
    <w:rsid w:val="00FA3AF8"/>
    <w:rsid w:val="00FA5888"/>
    <w:rsid w:val="00FA73BE"/>
    <w:rsid w:val="00FB08FC"/>
    <w:rsid w:val="00FB0E2F"/>
    <w:rsid w:val="00FB0EAC"/>
    <w:rsid w:val="00FB1A88"/>
    <w:rsid w:val="00FB2C72"/>
    <w:rsid w:val="00FB2CE9"/>
    <w:rsid w:val="00FB3F1A"/>
    <w:rsid w:val="00FB3F6A"/>
    <w:rsid w:val="00FB4923"/>
    <w:rsid w:val="00FB5014"/>
    <w:rsid w:val="00FB7945"/>
    <w:rsid w:val="00FB7DB0"/>
    <w:rsid w:val="00FC04DC"/>
    <w:rsid w:val="00FC1979"/>
    <w:rsid w:val="00FC1F6C"/>
    <w:rsid w:val="00FC24AC"/>
    <w:rsid w:val="00FC2BC1"/>
    <w:rsid w:val="00FC2D75"/>
    <w:rsid w:val="00FC2D9D"/>
    <w:rsid w:val="00FC2FE5"/>
    <w:rsid w:val="00FC3073"/>
    <w:rsid w:val="00FC3D66"/>
    <w:rsid w:val="00FC4303"/>
    <w:rsid w:val="00FC4529"/>
    <w:rsid w:val="00FC56FE"/>
    <w:rsid w:val="00FC6F66"/>
    <w:rsid w:val="00FC6FBE"/>
    <w:rsid w:val="00FC744E"/>
    <w:rsid w:val="00FC7C47"/>
    <w:rsid w:val="00FC7D08"/>
    <w:rsid w:val="00FD0714"/>
    <w:rsid w:val="00FD0994"/>
    <w:rsid w:val="00FD0FB9"/>
    <w:rsid w:val="00FD11EE"/>
    <w:rsid w:val="00FD2990"/>
    <w:rsid w:val="00FD38E5"/>
    <w:rsid w:val="00FD4A42"/>
    <w:rsid w:val="00FD4D0D"/>
    <w:rsid w:val="00FD5A42"/>
    <w:rsid w:val="00FD5D92"/>
    <w:rsid w:val="00FD5ECD"/>
    <w:rsid w:val="00FD71A6"/>
    <w:rsid w:val="00FD72CE"/>
    <w:rsid w:val="00FD731F"/>
    <w:rsid w:val="00FE0505"/>
    <w:rsid w:val="00FE09AF"/>
    <w:rsid w:val="00FE0A27"/>
    <w:rsid w:val="00FE0A28"/>
    <w:rsid w:val="00FE10BA"/>
    <w:rsid w:val="00FE31E3"/>
    <w:rsid w:val="00FE3AB5"/>
    <w:rsid w:val="00FE3B90"/>
    <w:rsid w:val="00FE3FBD"/>
    <w:rsid w:val="00FE45F8"/>
    <w:rsid w:val="00FE6BE5"/>
    <w:rsid w:val="00FE75AC"/>
    <w:rsid w:val="00FE79E6"/>
    <w:rsid w:val="00FF0261"/>
    <w:rsid w:val="00FF08D8"/>
    <w:rsid w:val="00FF136B"/>
    <w:rsid w:val="00FF1806"/>
    <w:rsid w:val="00FF28C9"/>
    <w:rsid w:val="00FF2BD0"/>
    <w:rsid w:val="00FF3084"/>
    <w:rsid w:val="00FF338D"/>
    <w:rsid w:val="00FF34AF"/>
    <w:rsid w:val="00FF41AF"/>
    <w:rsid w:val="00FF422D"/>
    <w:rsid w:val="00FF46A4"/>
    <w:rsid w:val="00FF4947"/>
    <w:rsid w:val="00FF4F69"/>
    <w:rsid w:val="00FF4F8F"/>
    <w:rsid w:val="00FF6905"/>
    <w:rsid w:val="00FF6A94"/>
    <w:rsid w:val="00FF6E9A"/>
    <w:rsid w:val="00FF7219"/>
    <w:rsid w:val="00FF7445"/>
    <w:rsid w:val="00FF7D87"/>
    <w:rsid w:val="00FF7F81"/>
    <w:rsid w:val="0204FCBF"/>
    <w:rsid w:val="021F7364"/>
    <w:rsid w:val="0285D19E"/>
    <w:rsid w:val="02E24D3B"/>
    <w:rsid w:val="03A01E62"/>
    <w:rsid w:val="03D0B900"/>
    <w:rsid w:val="0427EE2D"/>
    <w:rsid w:val="0515FBDC"/>
    <w:rsid w:val="064BC4A0"/>
    <w:rsid w:val="06FD5CF0"/>
    <w:rsid w:val="0805CA63"/>
    <w:rsid w:val="0B9065C0"/>
    <w:rsid w:val="0EC0E6FF"/>
    <w:rsid w:val="0F7DAEFA"/>
    <w:rsid w:val="1076D6F1"/>
    <w:rsid w:val="10D4788B"/>
    <w:rsid w:val="1203812D"/>
    <w:rsid w:val="13010AD7"/>
    <w:rsid w:val="1498B9A9"/>
    <w:rsid w:val="14E9DA59"/>
    <w:rsid w:val="15839589"/>
    <w:rsid w:val="162798FF"/>
    <w:rsid w:val="16B82F79"/>
    <w:rsid w:val="177F6C9C"/>
    <w:rsid w:val="17CFC981"/>
    <w:rsid w:val="19BFE362"/>
    <w:rsid w:val="1A0717AD"/>
    <w:rsid w:val="1AC8CE4B"/>
    <w:rsid w:val="1B95F722"/>
    <w:rsid w:val="1BD59427"/>
    <w:rsid w:val="1C1E910F"/>
    <w:rsid w:val="1C2A5B99"/>
    <w:rsid w:val="1CA1E3DD"/>
    <w:rsid w:val="1D129138"/>
    <w:rsid w:val="1D356832"/>
    <w:rsid w:val="1D956D96"/>
    <w:rsid w:val="1F39B3E1"/>
    <w:rsid w:val="1F5B3E82"/>
    <w:rsid w:val="1F74F958"/>
    <w:rsid w:val="202AADFC"/>
    <w:rsid w:val="21AE7AE3"/>
    <w:rsid w:val="224E6055"/>
    <w:rsid w:val="24014702"/>
    <w:rsid w:val="24E5FEF9"/>
    <w:rsid w:val="257B1E8F"/>
    <w:rsid w:val="25E5566E"/>
    <w:rsid w:val="2703A5FB"/>
    <w:rsid w:val="288FCF6A"/>
    <w:rsid w:val="2972CED8"/>
    <w:rsid w:val="299DCBAB"/>
    <w:rsid w:val="29C2B6AD"/>
    <w:rsid w:val="2A6F8DA8"/>
    <w:rsid w:val="2B0B0F95"/>
    <w:rsid w:val="2B43EB66"/>
    <w:rsid w:val="2BE402E0"/>
    <w:rsid w:val="2D59496B"/>
    <w:rsid w:val="2D7EDA11"/>
    <w:rsid w:val="2DFC3EC3"/>
    <w:rsid w:val="2F01D9F6"/>
    <w:rsid w:val="2F4DA8E8"/>
    <w:rsid w:val="32B1C9C3"/>
    <w:rsid w:val="32F9536E"/>
    <w:rsid w:val="33AAD409"/>
    <w:rsid w:val="3566503D"/>
    <w:rsid w:val="35C58667"/>
    <w:rsid w:val="35D459AF"/>
    <w:rsid w:val="35D4C7EF"/>
    <w:rsid w:val="361DAC44"/>
    <w:rsid w:val="36EB6CB0"/>
    <w:rsid w:val="37EDCE0D"/>
    <w:rsid w:val="38003DD5"/>
    <w:rsid w:val="39C1423D"/>
    <w:rsid w:val="3C01BA93"/>
    <w:rsid w:val="3CD70093"/>
    <w:rsid w:val="3E155ECF"/>
    <w:rsid w:val="3F586905"/>
    <w:rsid w:val="401BE6DE"/>
    <w:rsid w:val="41B486D5"/>
    <w:rsid w:val="4246AD55"/>
    <w:rsid w:val="437C1DE1"/>
    <w:rsid w:val="46F037A4"/>
    <w:rsid w:val="470D24A4"/>
    <w:rsid w:val="4787E0D2"/>
    <w:rsid w:val="47B4F1B7"/>
    <w:rsid w:val="4924759D"/>
    <w:rsid w:val="49B32BC9"/>
    <w:rsid w:val="49C4B370"/>
    <w:rsid w:val="4A48E474"/>
    <w:rsid w:val="4AD26F24"/>
    <w:rsid w:val="4B652753"/>
    <w:rsid w:val="4EF7E019"/>
    <w:rsid w:val="4F39EECB"/>
    <w:rsid w:val="51B933F6"/>
    <w:rsid w:val="556DD5C9"/>
    <w:rsid w:val="56B1516A"/>
    <w:rsid w:val="583ABF4D"/>
    <w:rsid w:val="58A1ED81"/>
    <w:rsid w:val="58AA22A8"/>
    <w:rsid w:val="5AE94BEA"/>
    <w:rsid w:val="5C1187FA"/>
    <w:rsid w:val="5C7E0041"/>
    <w:rsid w:val="5D3C21F2"/>
    <w:rsid w:val="5D752BEA"/>
    <w:rsid w:val="5DDAF013"/>
    <w:rsid w:val="5E27408B"/>
    <w:rsid w:val="5F402742"/>
    <w:rsid w:val="5F69CD6B"/>
    <w:rsid w:val="6010D3DA"/>
    <w:rsid w:val="630569F5"/>
    <w:rsid w:val="6406823E"/>
    <w:rsid w:val="643E368A"/>
    <w:rsid w:val="665AB419"/>
    <w:rsid w:val="667E0427"/>
    <w:rsid w:val="676CD405"/>
    <w:rsid w:val="67F2F104"/>
    <w:rsid w:val="68FFF286"/>
    <w:rsid w:val="6AEDA131"/>
    <w:rsid w:val="6C9749A5"/>
    <w:rsid w:val="6DA79B10"/>
    <w:rsid w:val="6DD6E877"/>
    <w:rsid w:val="70BD53CE"/>
    <w:rsid w:val="713ACC9A"/>
    <w:rsid w:val="71D466BE"/>
    <w:rsid w:val="7279CAA8"/>
    <w:rsid w:val="72D9CE2A"/>
    <w:rsid w:val="73A750AC"/>
    <w:rsid w:val="73A77C9F"/>
    <w:rsid w:val="73CA50D6"/>
    <w:rsid w:val="750AB398"/>
    <w:rsid w:val="76C6FFBC"/>
    <w:rsid w:val="7725A245"/>
    <w:rsid w:val="777E81EC"/>
    <w:rsid w:val="780A61FE"/>
    <w:rsid w:val="78A2E1E3"/>
    <w:rsid w:val="79DAC612"/>
    <w:rsid w:val="7A9876DE"/>
    <w:rsid w:val="7CBA9E5A"/>
    <w:rsid w:val="7E68CF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2BCF595"/>
  <w15:docId w15:val="{AD99D7DE-18F3-4008-93B1-B88EDD8D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0BC"/>
    <w:pPr>
      <w:widowControl w:val="0"/>
    </w:pPr>
    <w:rPr>
      <w:snapToGrid w:val="0"/>
      <w:kern w:val="28"/>
      <w:szCs w:val="20"/>
    </w:rPr>
  </w:style>
  <w:style w:type="paragraph" w:styleId="Heading1">
    <w:name w:val="heading 1"/>
    <w:basedOn w:val="Normal"/>
    <w:next w:val="ParaNum0"/>
    <w:link w:val="Heading1Char"/>
    <w:qFormat/>
    <w:rsid w:val="003530BC"/>
    <w:pPr>
      <w:keepNext/>
      <w:numPr>
        <w:numId w:val="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0"/>
    <w:link w:val="Heading2Char"/>
    <w:autoRedefine/>
    <w:qFormat/>
    <w:rsid w:val="003530BC"/>
    <w:pPr>
      <w:keepNext/>
      <w:numPr>
        <w:ilvl w:val="1"/>
        <w:numId w:val="5"/>
      </w:numPr>
      <w:spacing w:after="120"/>
      <w:outlineLvl w:val="1"/>
    </w:pPr>
    <w:rPr>
      <w:b/>
    </w:rPr>
  </w:style>
  <w:style w:type="paragraph" w:styleId="Heading3">
    <w:name w:val="heading 3"/>
    <w:basedOn w:val="Normal"/>
    <w:next w:val="ParaNum0"/>
    <w:link w:val="Heading3Char"/>
    <w:qFormat/>
    <w:rsid w:val="003530BC"/>
    <w:pPr>
      <w:keepNext/>
      <w:numPr>
        <w:ilvl w:val="2"/>
        <w:numId w:val="5"/>
      </w:numPr>
      <w:tabs>
        <w:tab w:val="left" w:pos="2160"/>
      </w:tabs>
      <w:spacing w:after="120"/>
      <w:outlineLvl w:val="2"/>
    </w:pPr>
    <w:rPr>
      <w:b/>
    </w:rPr>
  </w:style>
  <w:style w:type="paragraph" w:styleId="Heading4">
    <w:name w:val="heading 4"/>
    <w:basedOn w:val="Normal"/>
    <w:next w:val="ParaNum0"/>
    <w:link w:val="Heading4Char"/>
    <w:qFormat/>
    <w:rsid w:val="003530BC"/>
    <w:pPr>
      <w:keepNext/>
      <w:numPr>
        <w:ilvl w:val="3"/>
        <w:numId w:val="5"/>
      </w:numPr>
      <w:tabs>
        <w:tab w:val="left" w:pos="2880"/>
      </w:tabs>
      <w:spacing w:after="120"/>
      <w:outlineLvl w:val="3"/>
    </w:pPr>
    <w:rPr>
      <w:b/>
    </w:rPr>
  </w:style>
  <w:style w:type="paragraph" w:styleId="Heading5">
    <w:name w:val="heading 5"/>
    <w:basedOn w:val="Normal"/>
    <w:next w:val="ParaNum0"/>
    <w:link w:val="Heading5Char"/>
    <w:qFormat/>
    <w:rsid w:val="003530BC"/>
    <w:pPr>
      <w:keepNext/>
      <w:numPr>
        <w:ilvl w:val="4"/>
        <w:numId w:val="5"/>
      </w:numPr>
      <w:tabs>
        <w:tab w:val="left" w:pos="3600"/>
      </w:tabs>
      <w:suppressAutoHyphens/>
      <w:spacing w:after="120"/>
      <w:outlineLvl w:val="4"/>
    </w:pPr>
    <w:rPr>
      <w:b/>
    </w:rPr>
  </w:style>
  <w:style w:type="paragraph" w:styleId="Heading6">
    <w:name w:val="heading 6"/>
    <w:basedOn w:val="Normal"/>
    <w:next w:val="ParaNum0"/>
    <w:link w:val="Heading6Char"/>
    <w:qFormat/>
    <w:rsid w:val="003530BC"/>
    <w:pPr>
      <w:numPr>
        <w:ilvl w:val="5"/>
        <w:numId w:val="5"/>
      </w:numPr>
      <w:tabs>
        <w:tab w:val="left" w:pos="4320"/>
      </w:tabs>
      <w:spacing w:after="120"/>
      <w:outlineLvl w:val="5"/>
    </w:pPr>
    <w:rPr>
      <w:b/>
    </w:rPr>
  </w:style>
  <w:style w:type="paragraph" w:styleId="Heading7">
    <w:name w:val="heading 7"/>
    <w:basedOn w:val="Normal"/>
    <w:next w:val="ParaNum0"/>
    <w:link w:val="Heading7Char"/>
    <w:qFormat/>
    <w:rsid w:val="003530BC"/>
    <w:pPr>
      <w:numPr>
        <w:ilvl w:val="6"/>
        <w:numId w:val="5"/>
      </w:numPr>
      <w:tabs>
        <w:tab w:val="left" w:pos="5040"/>
      </w:tabs>
      <w:spacing w:after="120"/>
      <w:ind w:left="5040" w:hanging="720"/>
      <w:outlineLvl w:val="6"/>
    </w:pPr>
    <w:rPr>
      <w:b/>
    </w:rPr>
  </w:style>
  <w:style w:type="paragraph" w:styleId="Heading8">
    <w:name w:val="heading 8"/>
    <w:basedOn w:val="Normal"/>
    <w:next w:val="ParaNum0"/>
    <w:link w:val="Heading8Char"/>
    <w:qFormat/>
    <w:rsid w:val="003530BC"/>
    <w:pPr>
      <w:numPr>
        <w:ilvl w:val="7"/>
        <w:numId w:val="5"/>
      </w:numPr>
      <w:tabs>
        <w:tab w:val="clear" w:pos="5400"/>
        <w:tab w:val="left" w:pos="5760"/>
      </w:tabs>
      <w:spacing w:after="120"/>
      <w:ind w:left="5760" w:hanging="720"/>
      <w:outlineLvl w:val="7"/>
    </w:pPr>
    <w:rPr>
      <w:b/>
    </w:rPr>
  </w:style>
  <w:style w:type="paragraph" w:styleId="Heading9">
    <w:name w:val="heading 9"/>
    <w:basedOn w:val="Normal"/>
    <w:next w:val="ParaNum0"/>
    <w:link w:val="Heading9Char"/>
    <w:qFormat/>
    <w:rsid w:val="003530BC"/>
    <w:pPr>
      <w:numPr>
        <w:ilvl w:val="8"/>
        <w:numId w:val="5"/>
      </w:numPr>
      <w:tabs>
        <w:tab w:val="clear" w:pos="6120"/>
        <w:tab w:val="left" w:pos="6480"/>
      </w:tabs>
      <w:spacing w:after="120"/>
      <w:ind w:left="6480" w:hanging="720"/>
      <w:outlineLvl w:val="8"/>
    </w:pPr>
    <w:rPr>
      <w:b/>
    </w:rPr>
  </w:style>
  <w:style w:type="character" w:default="1" w:styleId="DefaultParagraphFont">
    <w:name w:val="Default Paragraph Font"/>
    <w:uiPriority w:val="1"/>
    <w:unhideWhenUsed/>
    <w:rsid w:val="003530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30BC"/>
  </w:style>
  <w:style w:type="character" w:customStyle="1" w:styleId="Heading1Char">
    <w:name w:val="Heading 1 Char"/>
    <w:basedOn w:val="DefaultParagraphFont"/>
    <w:link w:val="Heading1"/>
    <w:locked/>
    <w:rsid w:val="004E5204"/>
    <w:rPr>
      <w:rFonts w:ascii="Times New Roman Bold" w:hAnsi="Times New Roman Bold"/>
      <w:b/>
      <w:caps/>
      <w:snapToGrid w:val="0"/>
      <w:kern w:val="28"/>
      <w:szCs w:val="20"/>
    </w:rPr>
  </w:style>
  <w:style w:type="character" w:customStyle="1" w:styleId="Heading2Char">
    <w:name w:val="Heading 2 Char"/>
    <w:basedOn w:val="DefaultParagraphFont"/>
    <w:link w:val="Heading2"/>
    <w:locked/>
    <w:rsid w:val="0093442A"/>
    <w:rPr>
      <w:b/>
      <w:snapToGrid w:val="0"/>
      <w:kern w:val="28"/>
      <w:szCs w:val="20"/>
    </w:rPr>
  </w:style>
  <w:style w:type="character" w:customStyle="1" w:styleId="Heading3Char">
    <w:name w:val="Heading 3 Char"/>
    <w:basedOn w:val="DefaultParagraphFont"/>
    <w:link w:val="Heading3"/>
    <w:locked/>
    <w:rsid w:val="004E5204"/>
    <w:rPr>
      <w:b/>
      <w:snapToGrid w:val="0"/>
      <w:kern w:val="28"/>
      <w:szCs w:val="20"/>
    </w:rPr>
  </w:style>
  <w:style w:type="character" w:customStyle="1" w:styleId="Heading4Char">
    <w:name w:val="Heading 4 Char"/>
    <w:basedOn w:val="DefaultParagraphFont"/>
    <w:link w:val="Heading4"/>
    <w:locked/>
    <w:rsid w:val="004E5204"/>
    <w:rPr>
      <w:b/>
      <w:snapToGrid w:val="0"/>
      <w:kern w:val="28"/>
      <w:szCs w:val="20"/>
    </w:rPr>
  </w:style>
  <w:style w:type="character" w:customStyle="1" w:styleId="Heading5Char">
    <w:name w:val="Heading 5 Char"/>
    <w:basedOn w:val="DefaultParagraphFont"/>
    <w:link w:val="Heading5"/>
    <w:locked/>
    <w:rsid w:val="004E5204"/>
    <w:rPr>
      <w:b/>
      <w:snapToGrid w:val="0"/>
      <w:kern w:val="28"/>
      <w:szCs w:val="20"/>
    </w:rPr>
  </w:style>
  <w:style w:type="character" w:customStyle="1" w:styleId="Heading6Char">
    <w:name w:val="Heading 6 Char"/>
    <w:basedOn w:val="DefaultParagraphFont"/>
    <w:link w:val="Heading6"/>
    <w:locked/>
    <w:rsid w:val="004E5204"/>
    <w:rPr>
      <w:b/>
      <w:snapToGrid w:val="0"/>
      <w:kern w:val="28"/>
      <w:szCs w:val="20"/>
    </w:rPr>
  </w:style>
  <w:style w:type="character" w:customStyle="1" w:styleId="Heading7Char">
    <w:name w:val="Heading 7 Char"/>
    <w:basedOn w:val="DefaultParagraphFont"/>
    <w:link w:val="Heading7"/>
    <w:locked/>
    <w:rsid w:val="008640E1"/>
    <w:rPr>
      <w:b/>
      <w:snapToGrid w:val="0"/>
      <w:kern w:val="28"/>
      <w:szCs w:val="20"/>
    </w:rPr>
  </w:style>
  <w:style w:type="character" w:customStyle="1" w:styleId="Heading8Char">
    <w:name w:val="Heading 8 Char"/>
    <w:basedOn w:val="DefaultParagraphFont"/>
    <w:link w:val="Heading8"/>
    <w:locked/>
    <w:rsid w:val="008640E1"/>
    <w:rPr>
      <w:b/>
      <w:snapToGrid w:val="0"/>
      <w:kern w:val="28"/>
      <w:szCs w:val="20"/>
    </w:rPr>
  </w:style>
  <w:style w:type="character" w:customStyle="1" w:styleId="Heading9Char">
    <w:name w:val="Heading 9 Char"/>
    <w:basedOn w:val="DefaultParagraphFont"/>
    <w:link w:val="Heading9"/>
    <w:locked/>
    <w:rsid w:val="008640E1"/>
    <w:rPr>
      <w:b/>
      <w:snapToGrid w:val="0"/>
      <w:kern w:val="28"/>
      <w:szCs w:val="20"/>
    </w:rPr>
  </w:style>
  <w:style w:type="paragraph" w:styleId="BalloonText">
    <w:name w:val="Balloon Text"/>
    <w:basedOn w:val="Normal"/>
    <w:link w:val="BalloonTextChar"/>
    <w:uiPriority w:val="99"/>
    <w:semiHidden/>
    <w:rsid w:val="005E1749"/>
    <w:rPr>
      <w:kern w:val="0"/>
      <w:sz w:val="20"/>
    </w:rPr>
  </w:style>
  <w:style w:type="character" w:customStyle="1" w:styleId="BalloonTextChar">
    <w:name w:val="Balloon Text Char"/>
    <w:basedOn w:val="DefaultParagraphFont"/>
    <w:link w:val="BalloonText"/>
    <w:uiPriority w:val="99"/>
    <w:semiHidden/>
    <w:locked/>
    <w:rsid w:val="005E1749"/>
    <w:rPr>
      <w:rFonts w:cs="Times New Roman"/>
      <w:sz w:val="20"/>
    </w:rPr>
  </w:style>
  <w:style w:type="paragraph" w:styleId="FootnoteText">
    <w:name w:val="footnote text"/>
    <w:aliases w:val="Footnote Text Char,Footnote Text Char1 Char,rrfootnote Char Char,Style 5 Char Char,Footnote Text Char Char Char,Footnote Text Char1 Char Char Char,Footnote Text Char Char Char Char Char,Footnote Text Char1 Char Char Char Char Char,fn,Styl"/>
    <w:link w:val="FootnoteTextChar2"/>
    <w:rsid w:val="003530BC"/>
    <w:pPr>
      <w:spacing w:after="120"/>
    </w:pPr>
    <w:rPr>
      <w:sz w:val="20"/>
      <w:szCs w:val="20"/>
    </w:rPr>
  </w:style>
  <w:style w:type="character" w:customStyle="1" w:styleId="FootnoteTextChar1">
    <w:name w:val="Footnote Text Char1"/>
    <w:aliases w:val="Footnote Text Char Char,Footnote Text Char1 Char Char,rrfootnote Char Char Char,Style 5 Char Char Char,Footnote Text Char Char Char Char,Footnote Text Char1 Char Char Char Char,Footnote Text Char Char Char Char Char Char,fn Char"/>
    <w:basedOn w:val="DefaultParagraphFont"/>
    <w:locked/>
    <w:rsid w:val="00BC32AF"/>
    <w:rPr>
      <w:rFonts w:cs="Times New Roman"/>
      <w:sz w:val="24"/>
      <w:lang w:val="en-US" w:eastAsia="en-US"/>
    </w:rPr>
  </w:style>
  <w:style w:type="character" w:styleId="FootnoteReference">
    <w:name w:val="footnote reference"/>
    <w:aliases w:val="Style 4,Appel note de bas de p,Style 12,(NECG) Footnote Reference,Style 124,Style 13,o,fr,Style 3,Footnote Reference1,FR,Style 17,Style 6,Footnote Reference/,-E Funotenzeichen,A,Style 20,Style 34,Style 7,Style 9,callout,Ref,Style 1"/>
    <w:rsid w:val="003530BC"/>
    <w:rPr>
      <w:rFonts w:ascii="Times New Roman" w:hAnsi="Times New Roman"/>
      <w:dstrike w:val="0"/>
      <w:color w:val="auto"/>
      <w:sz w:val="20"/>
      <w:vertAlign w:val="superscript"/>
    </w:rPr>
  </w:style>
  <w:style w:type="paragraph" w:styleId="Header">
    <w:name w:val="header"/>
    <w:basedOn w:val="Normal"/>
    <w:link w:val="HeaderChar"/>
    <w:autoRedefine/>
    <w:rsid w:val="003530BC"/>
    <w:pPr>
      <w:tabs>
        <w:tab w:val="center" w:pos="4680"/>
        <w:tab w:val="right" w:pos="9360"/>
      </w:tabs>
    </w:pPr>
    <w:rPr>
      <w:b/>
    </w:rPr>
  </w:style>
  <w:style w:type="character" w:customStyle="1" w:styleId="HeaderChar">
    <w:name w:val="Header Char"/>
    <w:basedOn w:val="DefaultParagraphFont"/>
    <w:link w:val="Header"/>
    <w:locked/>
    <w:rsid w:val="009D701C"/>
    <w:rPr>
      <w:b/>
      <w:snapToGrid w:val="0"/>
      <w:kern w:val="28"/>
      <w:szCs w:val="20"/>
    </w:rPr>
  </w:style>
  <w:style w:type="paragraph" w:styleId="Footer">
    <w:name w:val="footer"/>
    <w:basedOn w:val="Normal"/>
    <w:link w:val="FooterChar"/>
    <w:uiPriority w:val="99"/>
    <w:rsid w:val="003530BC"/>
    <w:pPr>
      <w:tabs>
        <w:tab w:val="center" w:pos="4320"/>
        <w:tab w:val="right" w:pos="8640"/>
      </w:tabs>
    </w:pPr>
  </w:style>
  <w:style w:type="character" w:customStyle="1" w:styleId="FooterChar">
    <w:name w:val="Footer Char"/>
    <w:link w:val="Footer"/>
    <w:uiPriority w:val="99"/>
    <w:locked/>
    <w:rsid w:val="003530BC"/>
    <w:rPr>
      <w:snapToGrid w:val="0"/>
      <w:kern w:val="28"/>
      <w:szCs w:val="20"/>
    </w:rPr>
  </w:style>
  <w:style w:type="character" w:styleId="PageNumber">
    <w:name w:val="page number"/>
    <w:basedOn w:val="DefaultParagraphFont"/>
    <w:rsid w:val="003530BC"/>
  </w:style>
  <w:style w:type="paragraph" w:customStyle="1" w:styleId="Paranum">
    <w:name w:val="Paranum"/>
    <w:uiPriority w:val="99"/>
    <w:rsid w:val="00B02ADA"/>
    <w:pPr>
      <w:numPr>
        <w:numId w:val="1"/>
      </w:numPr>
      <w:tabs>
        <w:tab w:val="left" w:pos="1440"/>
      </w:tabs>
      <w:spacing w:after="240"/>
      <w:jc w:val="both"/>
    </w:pPr>
    <w:rPr>
      <w:szCs w:val="20"/>
    </w:rPr>
  </w:style>
  <w:style w:type="paragraph" w:customStyle="1" w:styleId="par1">
    <w:name w:val="par1"/>
    <w:basedOn w:val="Normal"/>
    <w:link w:val="par1Char"/>
    <w:uiPriority w:val="99"/>
    <w:rsid w:val="00B02ADA"/>
    <w:pPr>
      <w:numPr>
        <w:numId w:val="2"/>
      </w:numPr>
    </w:pPr>
    <w:rPr>
      <w:sz w:val="20"/>
    </w:rPr>
  </w:style>
  <w:style w:type="paragraph" w:customStyle="1" w:styleId="ParaNum0">
    <w:name w:val="ParaNum"/>
    <w:basedOn w:val="Normal"/>
    <w:link w:val="ParaNumChar0"/>
    <w:rsid w:val="003530BC"/>
    <w:pPr>
      <w:numPr>
        <w:numId w:val="3"/>
      </w:numPr>
      <w:tabs>
        <w:tab w:val="clear" w:pos="1080"/>
        <w:tab w:val="num" w:pos="1440"/>
      </w:tabs>
      <w:spacing w:after="120"/>
    </w:pPr>
  </w:style>
  <w:style w:type="paragraph" w:styleId="BodyText">
    <w:name w:val="Body Text"/>
    <w:aliases w:val="b"/>
    <w:basedOn w:val="Normal"/>
    <w:link w:val="BodyTextChar"/>
    <w:uiPriority w:val="99"/>
    <w:rsid w:val="00BC32AF"/>
    <w:rPr>
      <w:b/>
      <w:kern w:val="0"/>
      <w:u w:val="single"/>
    </w:rPr>
  </w:style>
  <w:style w:type="character" w:customStyle="1" w:styleId="BodyTextChar">
    <w:name w:val="Body Text Char"/>
    <w:aliases w:val="b Char"/>
    <w:basedOn w:val="DefaultParagraphFont"/>
    <w:link w:val="BodyText"/>
    <w:uiPriority w:val="99"/>
    <w:semiHidden/>
    <w:locked/>
    <w:rsid w:val="00BC32AF"/>
    <w:rPr>
      <w:rFonts w:cs="Times New Roman"/>
      <w:b/>
      <w:sz w:val="24"/>
      <w:u w:val="single"/>
      <w:lang w:val="en-US" w:eastAsia="en-US"/>
    </w:rPr>
  </w:style>
  <w:style w:type="character" w:customStyle="1" w:styleId="FootnoteTextChar2CharCharChar">
    <w:name w:val="Footnote Text Char2 Char Char Char"/>
    <w:aliases w:val="Footnote Text Char1 Char2 Char Char Char,Footnote Text Char Char Char Char Char Char2,Footnote Text Char1 Char Char Char Char Char Char1"/>
    <w:uiPriority w:val="99"/>
    <w:rsid w:val="00BC32AF"/>
    <w:rPr>
      <w:lang w:val="en-US" w:eastAsia="en-US"/>
    </w:rPr>
  </w:style>
  <w:style w:type="character" w:customStyle="1" w:styleId="ParanumChar">
    <w:name w:val="Paranum Char"/>
    <w:uiPriority w:val="99"/>
    <w:rsid w:val="00BC32AF"/>
    <w:rPr>
      <w:sz w:val="22"/>
      <w:lang w:val="en-US" w:eastAsia="en-US"/>
    </w:rPr>
  </w:style>
  <w:style w:type="paragraph" w:styleId="HTMLPreformatted">
    <w:name w:val="HTML Preformatted"/>
    <w:basedOn w:val="Normal"/>
    <w:link w:val="HTMLPreformattedChar"/>
    <w:uiPriority w:val="99"/>
    <w:rsid w:val="00BC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PreformattedChar">
    <w:name w:val="HTML Preformatted Char"/>
    <w:basedOn w:val="DefaultParagraphFont"/>
    <w:link w:val="HTMLPreformatted"/>
    <w:uiPriority w:val="99"/>
    <w:semiHidden/>
    <w:locked/>
    <w:rsid w:val="008640E1"/>
    <w:rPr>
      <w:rFonts w:ascii="Courier New" w:hAnsi="Courier New" w:cs="Times New Roman"/>
      <w:sz w:val="20"/>
    </w:rPr>
  </w:style>
  <w:style w:type="character" w:styleId="Hyperlink">
    <w:name w:val="Hyperlink"/>
    <w:rsid w:val="003530BC"/>
    <w:rPr>
      <w:color w:val="0000FF"/>
      <w:u w:val="single"/>
    </w:rPr>
  </w:style>
  <w:style w:type="character" w:customStyle="1" w:styleId="FootnoteTextChar2">
    <w:name w:val="Footnote Text Char2"/>
    <w:aliases w:val="Footnote Text Char Char1,Footnote Text Char1 Char Char1,rrfootnote Char Char Char1,Style 5 Char Char Char1,Footnote Text Char Char Char Char1,Footnote Text Char1 Char Char Char Char1,Footnote Text Char Char Char Char Char Char1"/>
    <w:link w:val="FootnoteText"/>
    <w:locked/>
    <w:rsid w:val="00A15BB3"/>
    <w:rPr>
      <w:sz w:val="20"/>
      <w:szCs w:val="20"/>
    </w:rPr>
  </w:style>
  <w:style w:type="character" w:styleId="Strong">
    <w:name w:val="Strong"/>
    <w:basedOn w:val="DefaultParagraphFont"/>
    <w:uiPriority w:val="99"/>
    <w:qFormat/>
    <w:rsid w:val="00BC32AF"/>
    <w:rPr>
      <w:rFonts w:cs="Times New Roman"/>
      <w:b/>
    </w:rPr>
  </w:style>
  <w:style w:type="character" w:customStyle="1" w:styleId="zzmpTrailerItem">
    <w:name w:val="zzmpTrailerItem"/>
    <w:uiPriority w:val="99"/>
    <w:rsid w:val="00BC32AF"/>
    <w:rPr>
      <w:rFonts w:ascii="Times New Roman" w:hAnsi="Times New Roman"/>
      <w:noProof/>
      <w:color w:val="auto"/>
      <w:spacing w:val="0"/>
      <w:position w:val="0"/>
      <w:sz w:val="16"/>
      <w:u w:val="none"/>
      <w:effect w:val="none"/>
      <w:vertAlign w:val="baseline"/>
    </w:rPr>
  </w:style>
  <w:style w:type="paragraph" w:styleId="BodyTextIndent2">
    <w:name w:val="Body Text Indent 2"/>
    <w:basedOn w:val="Normal"/>
    <w:link w:val="BodyTextIndent2Char"/>
    <w:uiPriority w:val="99"/>
    <w:rsid w:val="00BC32AF"/>
    <w:pPr>
      <w:spacing w:after="120" w:line="480" w:lineRule="auto"/>
      <w:ind w:left="360"/>
    </w:pPr>
    <w:rPr>
      <w:kern w:val="0"/>
    </w:rPr>
  </w:style>
  <w:style w:type="character" w:customStyle="1" w:styleId="BodyTextIndent2Char">
    <w:name w:val="Body Text Indent 2 Char"/>
    <w:basedOn w:val="DefaultParagraphFont"/>
    <w:link w:val="BodyTextIndent2"/>
    <w:uiPriority w:val="99"/>
    <w:semiHidden/>
    <w:locked/>
    <w:rsid w:val="008640E1"/>
    <w:rPr>
      <w:rFonts w:cs="Times New Roman"/>
      <w:sz w:val="24"/>
    </w:rPr>
  </w:style>
  <w:style w:type="paragraph" w:customStyle="1" w:styleId="StyleBoldCentered">
    <w:name w:val="Style Bold Centered"/>
    <w:basedOn w:val="Normal"/>
    <w:rsid w:val="003530BC"/>
    <w:pPr>
      <w:jc w:val="center"/>
    </w:pPr>
    <w:rPr>
      <w:rFonts w:ascii="Times New Roman Bold" w:hAnsi="Times New Roman Bold"/>
      <w:b/>
      <w:bCs/>
      <w:caps/>
      <w:szCs w:val="22"/>
    </w:rPr>
  </w:style>
  <w:style w:type="paragraph" w:styleId="TOAHeading">
    <w:name w:val="toa heading"/>
    <w:basedOn w:val="Normal"/>
    <w:next w:val="Normal"/>
    <w:semiHidden/>
    <w:rsid w:val="003530BC"/>
    <w:pPr>
      <w:tabs>
        <w:tab w:val="right" w:pos="9360"/>
      </w:tabs>
      <w:suppressAutoHyphens/>
    </w:pPr>
  </w:style>
  <w:style w:type="character" w:customStyle="1" w:styleId="bCharChar">
    <w:name w:val="b Char Char"/>
    <w:uiPriority w:val="99"/>
    <w:semiHidden/>
    <w:locked/>
    <w:rsid w:val="00BC32AF"/>
    <w:rPr>
      <w:b/>
      <w:sz w:val="24"/>
      <w:u w:val="single"/>
      <w:lang w:val="en-US" w:eastAsia="en-US"/>
    </w:rPr>
  </w:style>
  <w:style w:type="paragraph" w:customStyle="1" w:styleId="StyleParaNumAfter0pt">
    <w:name w:val="Style ParaNum + After:  0 pt"/>
    <w:basedOn w:val="Normal"/>
    <w:autoRedefine/>
    <w:uiPriority w:val="99"/>
    <w:rsid w:val="003C0F4F"/>
    <w:pPr>
      <w:numPr>
        <w:ilvl w:val="1"/>
        <w:numId w:val="4"/>
      </w:numPr>
      <w:tabs>
        <w:tab w:val="left" w:pos="-8100"/>
        <w:tab w:val="left" w:pos="2160"/>
      </w:tabs>
      <w:spacing w:after="240"/>
    </w:pPr>
  </w:style>
  <w:style w:type="paragraph" w:styleId="ListParagraph">
    <w:name w:val="List Paragraph"/>
    <w:basedOn w:val="Normal"/>
    <w:uiPriority w:val="99"/>
    <w:qFormat/>
    <w:rsid w:val="00060BD6"/>
    <w:pPr>
      <w:ind w:left="720"/>
    </w:pPr>
  </w:style>
  <w:style w:type="character" w:styleId="CommentReference">
    <w:name w:val="annotation reference"/>
    <w:basedOn w:val="DefaultParagraphFont"/>
    <w:uiPriority w:val="99"/>
    <w:rsid w:val="00422D6A"/>
    <w:rPr>
      <w:rFonts w:cs="Times New Roman"/>
      <w:sz w:val="16"/>
    </w:rPr>
  </w:style>
  <w:style w:type="paragraph" w:styleId="CommentText">
    <w:name w:val="annotation text"/>
    <w:basedOn w:val="Normal"/>
    <w:link w:val="CommentTextChar"/>
    <w:uiPriority w:val="99"/>
    <w:rsid w:val="00422D6A"/>
    <w:rPr>
      <w:kern w:val="0"/>
      <w:sz w:val="20"/>
    </w:rPr>
  </w:style>
  <w:style w:type="character" w:customStyle="1" w:styleId="CommentTextChar">
    <w:name w:val="Comment Text Char"/>
    <w:basedOn w:val="DefaultParagraphFont"/>
    <w:link w:val="CommentText"/>
    <w:uiPriority w:val="99"/>
    <w:locked/>
    <w:rsid w:val="00422D6A"/>
    <w:rPr>
      <w:rFonts w:cs="Times New Roman"/>
    </w:rPr>
  </w:style>
  <w:style w:type="paragraph" w:styleId="CommentSubject">
    <w:name w:val="annotation subject"/>
    <w:basedOn w:val="CommentText"/>
    <w:next w:val="CommentText"/>
    <w:link w:val="CommentSubjectChar"/>
    <w:uiPriority w:val="99"/>
    <w:rsid w:val="00422D6A"/>
    <w:rPr>
      <w:b/>
    </w:rPr>
  </w:style>
  <w:style w:type="character" w:customStyle="1" w:styleId="CommentSubjectChar">
    <w:name w:val="Comment Subject Char"/>
    <w:basedOn w:val="CommentTextChar"/>
    <w:link w:val="CommentSubject"/>
    <w:uiPriority w:val="99"/>
    <w:locked/>
    <w:rsid w:val="00422D6A"/>
    <w:rPr>
      <w:rFonts w:cs="Times New Roman"/>
      <w:b/>
    </w:rPr>
  </w:style>
  <w:style w:type="character" w:customStyle="1" w:styleId="par1Char">
    <w:name w:val="par1 Char"/>
    <w:link w:val="par1"/>
    <w:uiPriority w:val="99"/>
    <w:locked/>
    <w:rsid w:val="00D5405B"/>
    <w:rPr>
      <w:snapToGrid w:val="0"/>
      <w:kern w:val="28"/>
      <w:sz w:val="20"/>
      <w:szCs w:val="20"/>
    </w:rPr>
  </w:style>
  <w:style w:type="paragraph" w:styleId="Revision">
    <w:name w:val="Revision"/>
    <w:hidden/>
    <w:uiPriority w:val="99"/>
    <w:semiHidden/>
    <w:rsid w:val="00C5180F"/>
    <w:rPr>
      <w:sz w:val="24"/>
      <w:szCs w:val="24"/>
    </w:rPr>
  </w:style>
  <w:style w:type="paragraph" w:styleId="EndnoteText">
    <w:name w:val="endnote text"/>
    <w:basedOn w:val="Normal"/>
    <w:link w:val="EndnoteTextChar"/>
    <w:semiHidden/>
    <w:locked/>
    <w:rsid w:val="003530BC"/>
    <w:rPr>
      <w:sz w:val="20"/>
    </w:rPr>
  </w:style>
  <w:style w:type="character" w:customStyle="1" w:styleId="EndnoteTextChar">
    <w:name w:val="Endnote Text Char"/>
    <w:basedOn w:val="DefaultParagraphFont"/>
    <w:link w:val="EndnoteText"/>
    <w:semiHidden/>
    <w:locked/>
    <w:rsid w:val="002119D0"/>
    <w:rPr>
      <w:snapToGrid w:val="0"/>
      <w:kern w:val="28"/>
      <w:sz w:val="20"/>
      <w:szCs w:val="20"/>
    </w:rPr>
  </w:style>
  <w:style w:type="character" w:styleId="EndnoteReference">
    <w:name w:val="endnote reference"/>
    <w:semiHidden/>
    <w:locked/>
    <w:rsid w:val="003530BC"/>
    <w:rPr>
      <w:vertAlign w:val="superscript"/>
    </w:rPr>
  </w:style>
  <w:style w:type="paragraph" w:styleId="TOC1">
    <w:name w:val="toc 1"/>
    <w:basedOn w:val="Normal"/>
    <w:next w:val="Normal"/>
    <w:semiHidden/>
    <w:locked/>
    <w:rsid w:val="003530BC"/>
    <w:pPr>
      <w:tabs>
        <w:tab w:val="left" w:pos="360"/>
        <w:tab w:val="right" w:leader="dot" w:pos="9360"/>
      </w:tabs>
      <w:suppressAutoHyphens/>
      <w:ind w:left="360" w:right="720" w:hanging="360"/>
    </w:pPr>
    <w:rPr>
      <w:caps/>
      <w:noProof/>
    </w:rPr>
  </w:style>
  <w:style w:type="paragraph" w:styleId="TOC2">
    <w:name w:val="toc 2"/>
    <w:basedOn w:val="Normal"/>
    <w:next w:val="Normal"/>
    <w:semiHidden/>
    <w:locked/>
    <w:rsid w:val="003530BC"/>
    <w:pPr>
      <w:tabs>
        <w:tab w:val="left" w:pos="720"/>
        <w:tab w:val="right" w:leader="dot" w:pos="9360"/>
      </w:tabs>
      <w:suppressAutoHyphens/>
      <w:ind w:left="720" w:right="720" w:hanging="360"/>
    </w:pPr>
    <w:rPr>
      <w:noProof/>
    </w:rPr>
  </w:style>
  <w:style w:type="paragraph" w:styleId="TOC3">
    <w:name w:val="toc 3"/>
    <w:basedOn w:val="Normal"/>
    <w:next w:val="Normal"/>
    <w:semiHidden/>
    <w:locked/>
    <w:rsid w:val="003530B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locked/>
    <w:rsid w:val="003530B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locked/>
    <w:rsid w:val="003530B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locked/>
    <w:rsid w:val="003530BC"/>
    <w:pPr>
      <w:tabs>
        <w:tab w:val="left" w:pos="2160"/>
        <w:tab w:val="right" w:leader="dot" w:pos="9360"/>
      </w:tabs>
      <w:suppressAutoHyphens/>
      <w:ind w:left="2160" w:hanging="360"/>
    </w:pPr>
    <w:rPr>
      <w:noProof/>
    </w:rPr>
  </w:style>
  <w:style w:type="paragraph" w:styleId="TOC7">
    <w:name w:val="toc 7"/>
    <w:basedOn w:val="Normal"/>
    <w:next w:val="Normal"/>
    <w:autoRedefine/>
    <w:semiHidden/>
    <w:locked/>
    <w:rsid w:val="003530BC"/>
    <w:pPr>
      <w:tabs>
        <w:tab w:val="left" w:pos="2520"/>
        <w:tab w:val="right" w:leader="dot" w:pos="9360"/>
      </w:tabs>
      <w:suppressAutoHyphens/>
      <w:ind w:left="2520" w:hanging="360"/>
    </w:pPr>
    <w:rPr>
      <w:noProof/>
    </w:rPr>
  </w:style>
  <w:style w:type="paragraph" w:styleId="TOC8">
    <w:name w:val="toc 8"/>
    <w:basedOn w:val="Normal"/>
    <w:next w:val="Normal"/>
    <w:autoRedefine/>
    <w:semiHidden/>
    <w:locked/>
    <w:rsid w:val="003530BC"/>
    <w:pPr>
      <w:tabs>
        <w:tab w:val="left" w:pos="2880"/>
        <w:tab w:val="right" w:leader="dot" w:pos="9360"/>
      </w:tabs>
      <w:suppressAutoHyphens/>
      <w:ind w:left="2880" w:hanging="360"/>
    </w:pPr>
    <w:rPr>
      <w:noProof/>
    </w:rPr>
  </w:style>
  <w:style w:type="paragraph" w:styleId="TOC9">
    <w:name w:val="toc 9"/>
    <w:basedOn w:val="Normal"/>
    <w:next w:val="Normal"/>
    <w:autoRedefine/>
    <w:semiHidden/>
    <w:locked/>
    <w:rsid w:val="003530BC"/>
    <w:pPr>
      <w:tabs>
        <w:tab w:val="left" w:pos="3240"/>
        <w:tab w:val="right" w:leader="dot" w:pos="9360"/>
      </w:tabs>
      <w:suppressAutoHyphens/>
      <w:ind w:left="3240" w:hanging="360"/>
    </w:pPr>
    <w:rPr>
      <w:noProof/>
    </w:rPr>
  </w:style>
  <w:style w:type="character" w:customStyle="1" w:styleId="EquationCaption">
    <w:name w:val="_Equation Caption"/>
    <w:rsid w:val="003530BC"/>
  </w:style>
  <w:style w:type="paragraph" w:styleId="BlockText">
    <w:name w:val="Block Text"/>
    <w:basedOn w:val="Normal"/>
    <w:locked/>
    <w:rsid w:val="003530BC"/>
    <w:pPr>
      <w:spacing w:after="240"/>
      <w:ind w:left="1440" w:right="1440"/>
    </w:pPr>
  </w:style>
  <w:style w:type="paragraph" w:customStyle="1" w:styleId="Paratitle">
    <w:name w:val="Para title"/>
    <w:basedOn w:val="Normal"/>
    <w:rsid w:val="003530BC"/>
    <w:pPr>
      <w:tabs>
        <w:tab w:val="center" w:pos="9270"/>
      </w:tabs>
      <w:spacing w:after="240"/>
    </w:pPr>
    <w:rPr>
      <w:spacing w:val="-2"/>
    </w:rPr>
  </w:style>
  <w:style w:type="paragraph" w:customStyle="1" w:styleId="Bullet">
    <w:name w:val="Bullet"/>
    <w:basedOn w:val="Normal"/>
    <w:rsid w:val="003530BC"/>
    <w:pPr>
      <w:tabs>
        <w:tab w:val="left" w:pos="2160"/>
      </w:tabs>
      <w:spacing w:after="220"/>
      <w:ind w:left="2160" w:hanging="720"/>
    </w:pPr>
  </w:style>
  <w:style w:type="paragraph" w:customStyle="1" w:styleId="TableFormat">
    <w:name w:val="TableFormat"/>
    <w:basedOn w:val="Bullet"/>
    <w:rsid w:val="003530BC"/>
    <w:pPr>
      <w:tabs>
        <w:tab w:val="clear" w:pos="2160"/>
        <w:tab w:val="left" w:pos="5040"/>
      </w:tabs>
      <w:ind w:left="5040" w:hanging="3600"/>
    </w:pPr>
  </w:style>
  <w:style w:type="paragraph" w:customStyle="1" w:styleId="TOCTitle">
    <w:name w:val="TOC Title"/>
    <w:basedOn w:val="Normal"/>
    <w:rsid w:val="003530BC"/>
    <w:pPr>
      <w:spacing w:before="240" w:after="240"/>
      <w:jc w:val="center"/>
    </w:pPr>
    <w:rPr>
      <w:rFonts w:ascii="Times New Roman Bold" w:hAnsi="Times New Roman Bold"/>
      <w:b/>
      <w:caps/>
      <w:spacing w:val="-2"/>
    </w:rPr>
  </w:style>
  <w:style w:type="character" w:customStyle="1" w:styleId="FootnoteTextChar7CharChar">
    <w:name w:val="Footnote Text Char7 Char Char"/>
    <w:aliases w:val="Footnote Text Char4 Char1 Char Char,Footnote Text Char Char Char4 Char Char,Footnote Text Char7 Char Char Char Char Char,Footnote Text Char4 Char1 Char Char Char Char Char"/>
    <w:uiPriority w:val="99"/>
    <w:locked/>
    <w:rsid w:val="00D87441"/>
    <w:rPr>
      <w:lang w:val="en-US" w:eastAsia="en-US"/>
    </w:rPr>
  </w:style>
  <w:style w:type="character" w:customStyle="1" w:styleId="ALTSFOOTNOTECharChar">
    <w:name w:val="ALTS FOOTNOTE Char Char"/>
    <w:aliases w:val="fn Char Char,rrfootnote Char1 Char,rrfootnote Char Char Char Char Char,f Char"/>
    <w:locked/>
    <w:rsid w:val="00A031CA"/>
  </w:style>
  <w:style w:type="character" w:customStyle="1" w:styleId="ParaNumChar0">
    <w:name w:val="ParaNum Char"/>
    <w:link w:val="ParaNum0"/>
    <w:locked/>
    <w:rsid w:val="00CB3253"/>
    <w:rPr>
      <w:snapToGrid w:val="0"/>
      <w:kern w:val="28"/>
      <w:szCs w:val="20"/>
    </w:rPr>
  </w:style>
  <w:style w:type="character" w:styleId="UnresolvedMention">
    <w:name w:val="Unresolved Mention"/>
    <w:basedOn w:val="DefaultParagraphFont"/>
    <w:uiPriority w:val="99"/>
    <w:semiHidden/>
    <w:unhideWhenUsed/>
    <w:rsid w:val="009A7059"/>
    <w:rPr>
      <w:color w:val="605E5C"/>
      <w:shd w:val="clear" w:color="auto" w:fill="E1DFDD"/>
    </w:rPr>
  </w:style>
  <w:style w:type="character" w:styleId="FollowedHyperlink">
    <w:name w:val="FollowedHyperlink"/>
    <w:basedOn w:val="DefaultParagraphFont"/>
    <w:uiPriority w:val="99"/>
    <w:semiHidden/>
    <w:unhideWhenUsed/>
    <w:locked/>
    <w:rsid w:val="00AC67CD"/>
    <w:rPr>
      <w:color w:val="800080" w:themeColor="followedHyperlink"/>
      <w:u w:val="single"/>
    </w:rPr>
  </w:style>
  <w:style w:type="character" w:styleId="Emphasis">
    <w:name w:val="Emphasis"/>
    <w:basedOn w:val="DefaultParagraphFont"/>
    <w:uiPriority w:val="20"/>
    <w:qFormat/>
    <w:locked/>
    <w:rsid w:val="005D1A6D"/>
    <w:rPr>
      <w:i/>
      <w:iCs/>
    </w:rPr>
  </w:style>
  <w:style w:type="character" w:customStyle="1" w:styleId="cf01">
    <w:name w:val="cf01"/>
    <w:basedOn w:val="DefaultParagraphFont"/>
    <w:rsid w:val="002E5CDF"/>
    <w:rPr>
      <w:rFonts w:ascii="Segoe UI" w:hAnsi="Segoe UI" w:cs="Segoe UI" w:hint="default"/>
      <w:sz w:val="18"/>
      <w:szCs w:val="18"/>
    </w:rPr>
  </w:style>
  <w:style w:type="character" w:styleId="Mention">
    <w:name w:val="Mention"/>
    <w:basedOn w:val="DefaultParagraphFont"/>
    <w:uiPriority w:val="99"/>
    <w:unhideWhenUsed/>
    <w:rsid w:val="007D6430"/>
    <w:rPr>
      <w:color w:val="2B579A"/>
      <w:shd w:val="clear" w:color="auto" w:fill="E1DFDD"/>
    </w:rPr>
  </w:style>
  <w:style w:type="paragraph" w:styleId="Bibliography">
    <w:name w:val="Bibliography"/>
    <w:basedOn w:val="Normal"/>
    <w:next w:val="Normal"/>
    <w:uiPriority w:val="37"/>
    <w:semiHidden/>
    <w:unhideWhenUsed/>
    <w:rsid w:val="00B02ADA"/>
  </w:style>
  <w:style w:type="paragraph" w:styleId="BodyText2">
    <w:name w:val="Body Text 2"/>
    <w:basedOn w:val="Normal"/>
    <w:link w:val="BodyText2Char"/>
    <w:uiPriority w:val="99"/>
    <w:semiHidden/>
    <w:unhideWhenUsed/>
    <w:locked/>
    <w:rsid w:val="00B02ADA"/>
    <w:pPr>
      <w:spacing w:after="120" w:line="480" w:lineRule="auto"/>
    </w:pPr>
  </w:style>
  <w:style w:type="character" w:customStyle="1" w:styleId="BodyText2Char">
    <w:name w:val="Body Text 2 Char"/>
    <w:basedOn w:val="DefaultParagraphFont"/>
    <w:link w:val="BodyText2"/>
    <w:uiPriority w:val="99"/>
    <w:semiHidden/>
    <w:rsid w:val="00B02ADA"/>
    <w:rPr>
      <w:snapToGrid w:val="0"/>
      <w:kern w:val="28"/>
      <w:szCs w:val="20"/>
    </w:rPr>
  </w:style>
  <w:style w:type="paragraph" w:styleId="BodyText3">
    <w:name w:val="Body Text 3"/>
    <w:basedOn w:val="Normal"/>
    <w:link w:val="BodyText3Char"/>
    <w:uiPriority w:val="99"/>
    <w:semiHidden/>
    <w:unhideWhenUsed/>
    <w:locked/>
    <w:rsid w:val="00B02ADA"/>
    <w:pPr>
      <w:spacing w:after="120"/>
    </w:pPr>
    <w:rPr>
      <w:sz w:val="16"/>
      <w:szCs w:val="16"/>
    </w:rPr>
  </w:style>
  <w:style w:type="character" w:customStyle="1" w:styleId="BodyText3Char">
    <w:name w:val="Body Text 3 Char"/>
    <w:basedOn w:val="DefaultParagraphFont"/>
    <w:link w:val="BodyText3"/>
    <w:uiPriority w:val="99"/>
    <w:semiHidden/>
    <w:rsid w:val="00B02ADA"/>
    <w:rPr>
      <w:snapToGrid w:val="0"/>
      <w:kern w:val="28"/>
      <w:sz w:val="16"/>
      <w:szCs w:val="16"/>
    </w:rPr>
  </w:style>
  <w:style w:type="paragraph" w:styleId="BodyTextFirstIndent">
    <w:name w:val="Body Text First Indent"/>
    <w:basedOn w:val="BodyText"/>
    <w:link w:val="BodyTextFirstIndentChar"/>
    <w:uiPriority w:val="99"/>
    <w:semiHidden/>
    <w:unhideWhenUsed/>
    <w:locked/>
    <w:rsid w:val="00B02ADA"/>
    <w:pPr>
      <w:ind w:firstLine="360"/>
    </w:pPr>
    <w:rPr>
      <w:b w:val="0"/>
      <w:kern w:val="28"/>
      <w:u w:val="none"/>
    </w:rPr>
  </w:style>
  <w:style w:type="character" w:customStyle="1" w:styleId="BodyTextFirstIndentChar">
    <w:name w:val="Body Text First Indent Char"/>
    <w:basedOn w:val="BodyTextChar"/>
    <w:link w:val="BodyTextFirstIndent"/>
    <w:uiPriority w:val="99"/>
    <w:semiHidden/>
    <w:rsid w:val="00B02ADA"/>
    <w:rPr>
      <w:rFonts w:cs="Times New Roman"/>
      <w:b w:val="0"/>
      <w:snapToGrid w:val="0"/>
      <w:kern w:val="28"/>
      <w:sz w:val="24"/>
      <w:szCs w:val="20"/>
      <w:u w:val="single"/>
      <w:lang w:val="en-US" w:eastAsia="en-US"/>
    </w:rPr>
  </w:style>
  <w:style w:type="paragraph" w:styleId="BodyTextIndent">
    <w:name w:val="Body Text Indent"/>
    <w:basedOn w:val="Normal"/>
    <w:link w:val="BodyTextIndentChar"/>
    <w:uiPriority w:val="99"/>
    <w:semiHidden/>
    <w:unhideWhenUsed/>
    <w:locked/>
    <w:rsid w:val="00B02ADA"/>
    <w:pPr>
      <w:spacing w:after="120"/>
      <w:ind w:left="360"/>
    </w:pPr>
  </w:style>
  <w:style w:type="character" w:customStyle="1" w:styleId="BodyTextIndentChar">
    <w:name w:val="Body Text Indent Char"/>
    <w:basedOn w:val="DefaultParagraphFont"/>
    <w:link w:val="BodyTextIndent"/>
    <w:uiPriority w:val="99"/>
    <w:semiHidden/>
    <w:rsid w:val="00B02ADA"/>
    <w:rPr>
      <w:snapToGrid w:val="0"/>
      <w:kern w:val="28"/>
      <w:szCs w:val="20"/>
    </w:rPr>
  </w:style>
  <w:style w:type="paragraph" w:styleId="BodyTextFirstIndent2">
    <w:name w:val="Body Text First Indent 2"/>
    <w:basedOn w:val="BodyTextIndent"/>
    <w:link w:val="BodyTextFirstIndent2Char"/>
    <w:uiPriority w:val="99"/>
    <w:semiHidden/>
    <w:unhideWhenUsed/>
    <w:locked/>
    <w:rsid w:val="00B02ADA"/>
    <w:pPr>
      <w:spacing w:after="0"/>
      <w:ind w:firstLine="360"/>
    </w:pPr>
  </w:style>
  <w:style w:type="character" w:customStyle="1" w:styleId="BodyTextFirstIndent2Char">
    <w:name w:val="Body Text First Indent 2 Char"/>
    <w:basedOn w:val="BodyTextIndentChar"/>
    <w:link w:val="BodyTextFirstIndent2"/>
    <w:uiPriority w:val="99"/>
    <w:semiHidden/>
    <w:rsid w:val="00B02ADA"/>
    <w:rPr>
      <w:snapToGrid w:val="0"/>
      <w:kern w:val="28"/>
      <w:szCs w:val="20"/>
    </w:rPr>
  </w:style>
  <w:style w:type="paragraph" w:styleId="BodyTextIndent3">
    <w:name w:val="Body Text Indent 3"/>
    <w:basedOn w:val="Normal"/>
    <w:link w:val="BodyTextIndent3Char"/>
    <w:uiPriority w:val="99"/>
    <w:semiHidden/>
    <w:unhideWhenUsed/>
    <w:locked/>
    <w:rsid w:val="00B02A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2ADA"/>
    <w:rPr>
      <w:snapToGrid w:val="0"/>
      <w:kern w:val="28"/>
      <w:sz w:val="16"/>
      <w:szCs w:val="16"/>
    </w:rPr>
  </w:style>
  <w:style w:type="paragraph" w:styleId="Caption">
    <w:name w:val="caption"/>
    <w:basedOn w:val="Normal"/>
    <w:next w:val="Normal"/>
    <w:uiPriority w:val="35"/>
    <w:semiHidden/>
    <w:unhideWhenUsed/>
    <w:qFormat/>
    <w:locked/>
    <w:rsid w:val="00B02ADA"/>
    <w:pPr>
      <w:spacing w:after="200"/>
    </w:pPr>
    <w:rPr>
      <w:i/>
      <w:iCs/>
      <w:color w:val="1F497D" w:themeColor="text2"/>
      <w:sz w:val="18"/>
      <w:szCs w:val="18"/>
    </w:rPr>
  </w:style>
  <w:style w:type="paragraph" w:styleId="Closing">
    <w:name w:val="Closing"/>
    <w:basedOn w:val="Normal"/>
    <w:link w:val="ClosingChar"/>
    <w:uiPriority w:val="99"/>
    <w:semiHidden/>
    <w:unhideWhenUsed/>
    <w:locked/>
    <w:rsid w:val="00B02ADA"/>
    <w:pPr>
      <w:ind w:left="4320"/>
    </w:pPr>
  </w:style>
  <w:style w:type="character" w:customStyle="1" w:styleId="ClosingChar">
    <w:name w:val="Closing Char"/>
    <w:basedOn w:val="DefaultParagraphFont"/>
    <w:link w:val="Closing"/>
    <w:uiPriority w:val="99"/>
    <w:semiHidden/>
    <w:rsid w:val="00B02ADA"/>
    <w:rPr>
      <w:snapToGrid w:val="0"/>
      <w:kern w:val="28"/>
      <w:szCs w:val="20"/>
    </w:rPr>
  </w:style>
  <w:style w:type="paragraph" w:styleId="Date">
    <w:name w:val="Date"/>
    <w:basedOn w:val="Normal"/>
    <w:next w:val="Normal"/>
    <w:link w:val="DateChar"/>
    <w:uiPriority w:val="99"/>
    <w:semiHidden/>
    <w:unhideWhenUsed/>
    <w:locked/>
    <w:rsid w:val="00B02ADA"/>
  </w:style>
  <w:style w:type="character" w:customStyle="1" w:styleId="DateChar">
    <w:name w:val="Date Char"/>
    <w:basedOn w:val="DefaultParagraphFont"/>
    <w:link w:val="Date"/>
    <w:uiPriority w:val="99"/>
    <w:semiHidden/>
    <w:rsid w:val="00B02ADA"/>
    <w:rPr>
      <w:snapToGrid w:val="0"/>
      <w:kern w:val="28"/>
      <w:szCs w:val="20"/>
    </w:rPr>
  </w:style>
  <w:style w:type="paragraph" w:styleId="DocumentMap">
    <w:name w:val="Document Map"/>
    <w:basedOn w:val="Normal"/>
    <w:link w:val="DocumentMapChar"/>
    <w:uiPriority w:val="99"/>
    <w:semiHidden/>
    <w:unhideWhenUsed/>
    <w:locked/>
    <w:rsid w:val="00B02AD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02ADA"/>
    <w:rPr>
      <w:rFonts w:ascii="Segoe UI" w:hAnsi="Segoe UI" w:cs="Segoe UI"/>
      <w:snapToGrid w:val="0"/>
      <w:kern w:val="28"/>
      <w:sz w:val="16"/>
      <w:szCs w:val="16"/>
    </w:rPr>
  </w:style>
  <w:style w:type="paragraph" w:styleId="E-mailSignature">
    <w:name w:val="E-mail Signature"/>
    <w:basedOn w:val="Normal"/>
    <w:link w:val="E-mailSignatureChar"/>
    <w:uiPriority w:val="99"/>
    <w:semiHidden/>
    <w:unhideWhenUsed/>
    <w:locked/>
    <w:rsid w:val="00B02ADA"/>
  </w:style>
  <w:style w:type="character" w:customStyle="1" w:styleId="E-mailSignatureChar">
    <w:name w:val="E-mail Signature Char"/>
    <w:basedOn w:val="DefaultParagraphFont"/>
    <w:link w:val="E-mailSignature"/>
    <w:uiPriority w:val="99"/>
    <w:semiHidden/>
    <w:rsid w:val="00B02ADA"/>
    <w:rPr>
      <w:snapToGrid w:val="0"/>
      <w:kern w:val="28"/>
      <w:szCs w:val="20"/>
    </w:rPr>
  </w:style>
  <w:style w:type="paragraph" w:styleId="EnvelopeAddress">
    <w:name w:val="envelope address"/>
    <w:basedOn w:val="Normal"/>
    <w:uiPriority w:val="99"/>
    <w:semiHidden/>
    <w:unhideWhenUsed/>
    <w:locked/>
    <w:rsid w:val="00B02A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B02ADA"/>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locked/>
    <w:rsid w:val="00B02ADA"/>
    <w:rPr>
      <w:i/>
      <w:iCs/>
    </w:rPr>
  </w:style>
  <w:style w:type="character" w:customStyle="1" w:styleId="HTMLAddressChar">
    <w:name w:val="HTML Address Char"/>
    <w:basedOn w:val="DefaultParagraphFont"/>
    <w:link w:val="HTMLAddress"/>
    <w:uiPriority w:val="99"/>
    <w:semiHidden/>
    <w:rsid w:val="00B02ADA"/>
    <w:rPr>
      <w:i/>
      <w:iCs/>
      <w:snapToGrid w:val="0"/>
      <w:kern w:val="28"/>
      <w:szCs w:val="20"/>
    </w:rPr>
  </w:style>
  <w:style w:type="paragraph" w:styleId="Index1">
    <w:name w:val="index 1"/>
    <w:basedOn w:val="Normal"/>
    <w:next w:val="Normal"/>
    <w:autoRedefine/>
    <w:uiPriority w:val="99"/>
    <w:semiHidden/>
    <w:unhideWhenUsed/>
    <w:locked/>
    <w:rsid w:val="00B02ADA"/>
    <w:pPr>
      <w:ind w:left="220" w:hanging="220"/>
    </w:pPr>
  </w:style>
  <w:style w:type="paragraph" w:styleId="Index2">
    <w:name w:val="index 2"/>
    <w:basedOn w:val="Normal"/>
    <w:next w:val="Normal"/>
    <w:autoRedefine/>
    <w:uiPriority w:val="99"/>
    <w:semiHidden/>
    <w:unhideWhenUsed/>
    <w:locked/>
    <w:rsid w:val="00B02ADA"/>
    <w:pPr>
      <w:ind w:left="440" w:hanging="220"/>
    </w:pPr>
  </w:style>
  <w:style w:type="paragraph" w:styleId="Index3">
    <w:name w:val="index 3"/>
    <w:basedOn w:val="Normal"/>
    <w:next w:val="Normal"/>
    <w:autoRedefine/>
    <w:uiPriority w:val="99"/>
    <w:semiHidden/>
    <w:unhideWhenUsed/>
    <w:locked/>
    <w:rsid w:val="00B02ADA"/>
    <w:pPr>
      <w:ind w:left="660" w:hanging="220"/>
    </w:pPr>
  </w:style>
  <w:style w:type="paragraph" w:styleId="Index4">
    <w:name w:val="index 4"/>
    <w:basedOn w:val="Normal"/>
    <w:next w:val="Normal"/>
    <w:autoRedefine/>
    <w:uiPriority w:val="99"/>
    <w:semiHidden/>
    <w:unhideWhenUsed/>
    <w:locked/>
    <w:rsid w:val="00B02ADA"/>
    <w:pPr>
      <w:ind w:left="880" w:hanging="220"/>
    </w:pPr>
  </w:style>
  <w:style w:type="paragraph" w:styleId="Index5">
    <w:name w:val="index 5"/>
    <w:basedOn w:val="Normal"/>
    <w:next w:val="Normal"/>
    <w:autoRedefine/>
    <w:uiPriority w:val="99"/>
    <w:semiHidden/>
    <w:unhideWhenUsed/>
    <w:locked/>
    <w:rsid w:val="00B02ADA"/>
    <w:pPr>
      <w:ind w:left="1100" w:hanging="220"/>
    </w:pPr>
  </w:style>
  <w:style w:type="paragraph" w:styleId="Index6">
    <w:name w:val="index 6"/>
    <w:basedOn w:val="Normal"/>
    <w:next w:val="Normal"/>
    <w:autoRedefine/>
    <w:uiPriority w:val="99"/>
    <w:semiHidden/>
    <w:unhideWhenUsed/>
    <w:locked/>
    <w:rsid w:val="00B02ADA"/>
    <w:pPr>
      <w:ind w:left="1320" w:hanging="220"/>
    </w:pPr>
  </w:style>
  <w:style w:type="paragraph" w:styleId="Index7">
    <w:name w:val="index 7"/>
    <w:basedOn w:val="Normal"/>
    <w:next w:val="Normal"/>
    <w:autoRedefine/>
    <w:uiPriority w:val="99"/>
    <w:semiHidden/>
    <w:unhideWhenUsed/>
    <w:locked/>
    <w:rsid w:val="00B02ADA"/>
    <w:pPr>
      <w:ind w:left="1540" w:hanging="220"/>
    </w:pPr>
  </w:style>
  <w:style w:type="paragraph" w:styleId="Index8">
    <w:name w:val="index 8"/>
    <w:basedOn w:val="Normal"/>
    <w:next w:val="Normal"/>
    <w:autoRedefine/>
    <w:uiPriority w:val="99"/>
    <w:semiHidden/>
    <w:unhideWhenUsed/>
    <w:locked/>
    <w:rsid w:val="00B02ADA"/>
    <w:pPr>
      <w:ind w:left="1760" w:hanging="220"/>
    </w:pPr>
  </w:style>
  <w:style w:type="paragraph" w:styleId="Index9">
    <w:name w:val="index 9"/>
    <w:basedOn w:val="Normal"/>
    <w:next w:val="Normal"/>
    <w:autoRedefine/>
    <w:uiPriority w:val="99"/>
    <w:semiHidden/>
    <w:unhideWhenUsed/>
    <w:locked/>
    <w:rsid w:val="00B02ADA"/>
    <w:pPr>
      <w:ind w:left="1980" w:hanging="220"/>
    </w:pPr>
  </w:style>
  <w:style w:type="paragraph" w:styleId="IndexHeading">
    <w:name w:val="index heading"/>
    <w:basedOn w:val="Normal"/>
    <w:next w:val="Index1"/>
    <w:uiPriority w:val="99"/>
    <w:semiHidden/>
    <w:unhideWhenUsed/>
    <w:locked/>
    <w:rsid w:val="00B02A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02A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02ADA"/>
    <w:rPr>
      <w:i/>
      <w:iCs/>
      <w:snapToGrid w:val="0"/>
      <w:color w:val="4F81BD" w:themeColor="accent1"/>
      <w:kern w:val="28"/>
      <w:szCs w:val="20"/>
    </w:rPr>
  </w:style>
  <w:style w:type="paragraph" w:styleId="List">
    <w:name w:val="List"/>
    <w:basedOn w:val="Normal"/>
    <w:uiPriority w:val="99"/>
    <w:semiHidden/>
    <w:unhideWhenUsed/>
    <w:locked/>
    <w:rsid w:val="00B02ADA"/>
    <w:pPr>
      <w:ind w:left="360" w:hanging="360"/>
      <w:contextualSpacing/>
    </w:pPr>
  </w:style>
  <w:style w:type="paragraph" w:styleId="List2">
    <w:name w:val="List 2"/>
    <w:basedOn w:val="Normal"/>
    <w:uiPriority w:val="99"/>
    <w:semiHidden/>
    <w:unhideWhenUsed/>
    <w:locked/>
    <w:rsid w:val="00B02ADA"/>
    <w:pPr>
      <w:ind w:left="720" w:hanging="360"/>
      <w:contextualSpacing/>
    </w:pPr>
  </w:style>
  <w:style w:type="paragraph" w:styleId="List3">
    <w:name w:val="List 3"/>
    <w:basedOn w:val="Normal"/>
    <w:uiPriority w:val="99"/>
    <w:semiHidden/>
    <w:unhideWhenUsed/>
    <w:locked/>
    <w:rsid w:val="00B02ADA"/>
    <w:pPr>
      <w:ind w:left="1080" w:hanging="360"/>
      <w:contextualSpacing/>
    </w:pPr>
  </w:style>
  <w:style w:type="paragraph" w:styleId="List4">
    <w:name w:val="List 4"/>
    <w:basedOn w:val="Normal"/>
    <w:uiPriority w:val="99"/>
    <w:semiHidden/>
    <w:unhideWhenUsed/>
    <w:locked/>
    <w:rsid w:val="00B02ADA"/>
    <w:pPr>
      <w:ind w:left="1440" w:hanging="360"/>
      <w:contextualSpacing/>
    </w:pPr>
  </w:style>
  <w:style w:type="paragraph" w:styleId="List5">
    <w:name w:val="List 5"/>
    <w:basedOn w:val="Normal"/>
    <w:uiPriority w:val="99"/>
    <w:semiHidden/>
    <w:unhideWhenUsed/>
    <w:locked/>
    <w:rsid w:val="00B02ADA"/>
    <w:pPr>
      <w:ind w:left="1800" w:hanging="360"/>
      <w:contextualSpacing/>
    </w:pPr>
  </w:style>
  <w:style w:type="paragraph" w:styleId="ListBullet">
    <w:name w:val="List Bullet"/>
    <w:basedOn w:val="Normal"/>
    <w:uiPriority w:val="99"/>
    <w:semiHidden/>
    <w:unhideWhenUsed/>
    <w:locked/>
    <w:rsid w:val="00B02ADA"/>
    <w:pPr>
      <w:numPr>
        <w:numId w:val="26"/>
      </w:numPr>
      <w:contextualSpacing/>
    </w:pPr>
  </w:style>
  <w:style w:type="paragraph" w:styleId="ListBullet2">
    <w:name w:val="List Bullet 2"/>
    <w:basedOn w:val="Normal"/>
    <w:uiPriority w:val="99"/>
    <w:semiHidden/>
    <w:unhideWhenUsed/>
    <w:locked/>
    <w:rsid w:val="00B02ADA"/>
    <w:pPr>
      <w:numPr>
        <w:numId w:val="27"/>
      </w:numPr>
      <w:contextualSpacing/>
    </w:pPr>
  </w:style>
  <w:style w:type="paragraph" w:styleId="ListBullet3">
    <w:name w:val="List Bullet 3"/>
    <w:basedOn w:val="Normal"/>
    <w:uiPriority w:val="99"/>
    <w:semiHidden/>
    <w:unhideWhenUsed/>
    <w:locked/>
    <w:rsid w:val="00B02ADA"/>
    <w:pPr>
      <w:numPr>
        <w:numId w:val="28"/>
      </w:numPr>
      <w:contextualSpacing/>
    </w:pPr>
  </w:style>
  <w:style w:type="paragraph" w:styleId="ListBullet4">
    <w:name w:val="List Bullet 4"/>
    <w:basedOn w:val="Normal"/>
    <w:uiPriority w:val="99"/>
    <w:semiHidden/>
    <w:unhideWhenUsed/>
    <w:locked/>
    <w:rsid w:val="00B02ADA"/>
    <w:pPr>
      <w:numPr>
        <w:numId w:val="29"/>
      </w:numPr>
      <w:contextualSpacing/>
    </w:pPr>
  </w:style>
  <w:style w:type="paragraph" w:styleId="ListBullet5">
    <w:name w:val="List Bullet 5"/>
    <w:basedOn w:val="Normal"/>
    <w:uiPriority w:val="99"/>
    <w:semiHidden/>
    <w:unhideWhenUsed/>
    <w:locked/>
    <w:rsid w:val="00B02ADA"/>
    <w:pPr>
      <w:numPr>
        <w:numId w:val="30"/>
      </w:numPr>
      <w:contextualSpacing/>
    </w:pPr>
  </w:style>
  <w:style w:type="paragraph" w:styleId="ListContinue">
    <w:name w:val="List Continue"/>
    <w:basedOn w:val="Normal"/>
    <w:uiPriority w:val="99"/>
    <w:semiHidden/>
    <w:unhideWhenUsed/>
    <w:locked/>
    <w:rsid w:val="00B02ADA"/>
    <w:pPr>
      <w:spacing w:after="120"/>
      <w:ind w:left="360"/>
      <w:contextualSpacing/>
    </w:pPr>
  </w:style>
  <w:style w:type="paragraph" w:styleId="ListContinue2">
    <w:name w:val="List Continue 2"/>
    <w:basedOn w:val="Normal"/>
    <w:uiPriority w:val="99"/>
    <w:semiHidden/>
    <w:unhideWhenUsed/>
    <w:locked/>
    <w:rsid w:val="00B02ADA"/>
    <w:pPr>
      <w:spacing w:after="120"/>
      <w:ind w:left="720"/>
      <w:contextualSpacing/>
    </w:pPr>
  </w:style>
  <w:style w:type="paragraph" w:styleId="ListContinue3">
    <w:name w:val="List Continue 3"/>
    <w:basedOn w:val="Normal"/>
    <w:uiPriority w:val="99"/>
    <w:semiHidden/>
    <w:unhideWhenUsed/>
    <w:locked/>
    <w:rsid w:val="00B02ADA"/>
    <w:pPr>
      <w:spacing w:after="120"/>
      <w:ind w:left="1080"/>
      <w:contextualSpacing/>
    </w:pPr>
  </w:style>
  <w:style w:type="paragraph" w:styleId="ListContinue4">
    <w:name w:val="List Continue 4"/>
    <w:basedOn w:val="Normal"/>
    <w:uiPriority w:val="99"/>
    <w:semiHidden/>
    <w:unhideWhenUsed/>
    <w:locked/>
    <w:rsid w:val="00B02ADA"/>
    <w:pPr>
      <w:spacing w:after="120"/>
      <w:ind w:left="1440"/>
      <w:contextualSpacing/>
    </w:pPr>
  </w:style>
  <w:style w:type="paragraph" w:styleId="ListContinue5">
    <w:name w:val="List Continue 5"/>
    <w:basedOn w:val="Normal"/>
    <w:uiPriority w:val="99"/>
    <w:semiHidden/>
    <w:unhideWhenUsed/>
    <w:locked/>
    <w:rsid w:val="00B02ADA"/>
    <w:pPr>
      <w:spacing w:after="120"/>
      <w:ind w:left="1800"/>
      <w:contextualSpacing/>
    </w:pPr>
  </w:style>
  <w:style w:type="paragraph" w:styleId="ListNumber">
    <w:name w:val="List Number"/>
    <w:basedOn w:val="Normal"/>
    <w:uiPriority w:val="99"/>
    <w:semiHidden/>
    <w:unhideWhenUsed/>
    <w:locked/>
    <w:rsid w:val="00B02ADA"/>
    <w:pPr>
      <w:numPr>
        <w:numId w:val="31"/>
      </w:numPr>
      <w:contextualSpacing/>
    </w:pPr>
  </w:style>
  <w:style w:type="paragraph" w:styleId="ListNumber2">
    <w:name w:val="List Number 2"/>
    <w:basedOn w:val="Normal"/>
    <w:uiPriority w:val="99"/>
    <w:semiHidden/>
    <w:unhideWhenUsed/>
    <w:locked/>
    <w:rsid w:val="00B02ADA"/>
    <w:pPr>
      <w:numPr>
        <w:numId w:val="32"/>
      </w:numPr>
      <w:contextualSpacing/>
    </w:pPr>
  </w:style>
  <w:style w:type="paragraph" w:styleId="ListNumber3">
    <w:name w:val="List Number 3"/>
    <w:basedOn w:val="Normal"/>
    <w:uiPriority w:val="99"/>
    <w:semiHidden/>
    <w:unhideWhenUsed/>
    <w:locked/>
    <w:rsid w:val="00B02ADA"/>
    <w:pPr>
      <w:numPr>
        <w:numId w:val="33"/>
      </w:numPr>
      <w:contextualSpacing/>
    </w:pPr>
  </w:style>
  <w:style w:type="paragraph" w:styleId="ListNumber4">
    <w:name w:val="List Number 4"/>
    <w:basedOn w:val="Normal"/>
    <w:uiPriority w:val="99"/>
    <w:semiHidden/>
    <w:unhideWhenUsed/>
    <w:locked/>
    <w:rsid w:val="00B02ADA"/>
    <w:pPr>
      <w:numPr>
        <w:numId w:val="34"/>
      </w:numPr>
      <w:contextualSpacing/>
    </w:pPr>
  </w:style>
  <w:style w:type="paragraph" w:styleId="ListNumber5">
    <w:name w:val="List Number 5"/>
    <w:basedOn w:val="Normal"/>
    <w:uiPriority w:val="99"/>
    <w:semiHidden/>
    <w:unhideWhenUsed/>
    <w:locked/>
    <w:rsid w:val="00B02ADA"/>
    <w:pPr>
      <w:numPr>
        <w:numId w:val="35"/>
      </w:numPr>
      <w:contextualSpacing/>
    </w:pPr>
  </w:style>
  <w:style w:type="paragraph" w:styleId="Macro">
    <w:name w:val="macro"/>
    <w:link w:val="MacroTextChar"/>
    <w:uiPriority w:val="99"/>
    <w:semiHidden/>
    <w:unhideWhenUsed/>
    <w:locked/>
    <w:rsid w:val="00B02AD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kern w:val="28"/>
      <w:sz w:val="20"/>
      <w:szCs w:val="20"/>
    </w:rPr>
  </w:style>
  <w:style w:type="character" w:customStyle="1" w:styleId="MacroTextChar">
    <w:name w:val="Macro Text Char"/>
    <w:basedOn w:val="DefaultParagraphFont"/>
    <w:link w:val="Macro"/>
    <w:uiPriority w:val="99"/>
    <w:semiHidden/>
    <w:rsid w:val="00B02ADA"/>
    <w:rPr>
      <w:rFonts w:ascii="Consolas" w:hAnsi="Consolas"/>
      <w:snapToGrid w:val="0"/>
      <w:kern w:val="28"/>
      <w:sz w:val="20"/>
      <w:szCs w:val="20"/>
    </w:rPr>
  </w:style>
  <w:style w:type="paragraph" w:styleId="MessageHeader">
    <w:name w:val="Message Header"/>
    <w:basedOn w:val="Normal"/>
    <w:link w:val="MessageHeaderChar"/>
    <w:uiPriority w:val="99"/>
    <w:semiHidden/>
    <w:unhideWhenUsed/>
    <w:locked/>
    <w:rsid w:val="00B02AD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02ADA"/>
    <w:rPr>
      <w:rFonts w:asciiTheme="majorHAnsi" w:eastAsiaTheme="majorEastAsia" w:hAnsiTheme="majorHAnsi" w:cstheme="majorBidi"/>
      <w:snapToGrid w:val="0"/>
      <w:kern w:val="28"/>
      <w:sz w:val="24"/>
      <w:szCs w:val="24"/>
      <w:shd w:val="pct20" w:color="auto" w:fill="auto"/>
    </w:rPr>
  </w:style>
  <w:style w:type="paragraph" w:styleId="NoSpacing">
    <w:name w:val="No Spacing"/>
    <w:uiPriority w:val="1"/>
    <w:qFormat/>
    <w:rsid w:val="00B02ADA"/>
    <w:pPr>
      <w:widowControl w:val="0"/>
    </w:pPr>
    <w:rPr>
      <w:snapToGrid w:val="0"/>
      <w:kern w:val="28"/>
      <w:szCs w:val="20"/>
    </w:rPr>
  </w:style>
  <w:style w:type="paragraph" w:styleId="NormalWeb">
    <w:name w:val="Normal (Web)"/>
    <w:basedOn w:val="Normal"/>
    <w:uiPriority w:val="99"/>
    <w:semiHidden/>
    <w:unhideWhenUsed/>
    <w:locked/>
    <w:rsid w:val="00B02ADA"/>
    <w:rPr>
      <w:sz w:val="24"/>
      <w:szCs w:val="24"/>
    </w:rPr>
  </w:style>
  <w:style w:type="paragraph" w:styleId="NormalIndent">
    <w:name w:val="Normal Indent"/>
    <w:basedOn w:val="Normal"/>
    <w:uiPriority w:val="99"/>
    <w:semiHidden/>
    <w:unhideWhenUsed/>
    <w:locked/>
    <w:rsid w:val="00B02ADA"/>
    <w:pPr>
      <w:ind w:left="720"/>
    </w:pPr>
  </w:style>
  <w:style w:type="paragraph" w:styleId="NoteHeading">
    <w:name w:val="Note Heading"/>
    <w:basedOn w:val="Normal"/>
    <w:next w:val="Normal"/>
    <w:link w:val="NoteHeadingChar"/>
    <w:uiPriority w:val="99"/>
    <w:semiHidden/>
    <w:unhideWhenUsed/>
    <w:locked/>
    <w:rsid w:val="00B02ADA"/>
  </w:style>
  <w:style w:type="character" w:customStyle="1" w:styleId="NoteHeadingChar">
    <w:name w:val="Note Heading Char"/>
    <w:basedOn w:val="DefaultParagraphFont"/>
    <w:link w:val="NoteHeading"/>
    <w:uiPriority w:val="99"/>
    <w:semiHidden/>
    <w:rsid w:val="00B02ADA"/>
    <w:rPr>
      <w:snapToGrid w:val="0"/>
      <w:kern w:val="28"/>
      <w:szCs w:val="20"/>
    </w:rPr>
  </w:style>
  <w:style w:type="paragraph" w:styleId="PlainText">
    <w:name w:val="Plain Text"/>
    <w:basedOn w:val="Normal"/>
    <w:link w:val="PlainTextChar"/>
    <w:uiPriority w:val="99"/>
    <w:semiHidden/>
    <w:unhideWhenUsed/>
    <w:locked/>
    <w:rsid w:val="00B02ADA"/>
    <w:rPr>
      <w:rFonts w:ascii="Consolas" w:hAnsi="Consolas"/>
      <w:sz w:val="21"/>
      <w:szCs w:val="21"/>
    </w:rPr>
  </w:style>
  <w:style w:type="character" w:customStyle="1" w:styleId="PlainTextChar">
    <w:name w:val="Plain Text Char"/>
    <w:basedOn w:val="DefaultParagraphFont"/>
    <w:link w:val="PlainText"/>
    <w:uiPriority w:val="99"/>
    <w:semiHidden/>
    <w:rsid w:val="00B02ADA"/>
    <w:rPr>
      <w:rFonts w:ascii="Consolas" w:hAnsi="Consolas"/>
      <w:snapToGrid w:val="0"/>
      <w:kern w:val="28"/>
      <w:sz w:val="21"/>
      <w:szCs w:val="21"/>
    </w:rPr>
  </w:style>
  <w:style w:type="paragraph" w:styleId="Quote">
    <w:name w:val="Quote"/>
    <w:basedOn w:val="Normal"/>
    <w:next w:val="Normal"/>
    <w:link w:val="QuoteChar"/>
    <w:uiPriority w:val="29"/>
    <w:qFormat/>
    <w:rsid w:val="00B02A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2ADA"/>
    <w:rPr>
      <w:i/>
      <w:iCs/>
      <w:snapToGrid w:val="0"/>
      <w:color w:val="404040" w:themeColor="text1" w:themeTint="BF"/>
      <w:kern w:val="28"/>
      <w:szCs w:val="20"/>
    </w:rPr>
  </w:style>
  <w:style w:type="paragraph" w:styleId="Salutation">
    <w:name w:val="Salutation"/>
    <w:basedOn w:val="Normal"/>
    <w:next w:val="Normal"/>
    <w:link w:val="SalutationChar"/>
    <w:uiPriority w:val="99"/>
    <w:semiHidden/>
    <w:unhideWhenUsed/>
    <w:locked/>
    <w:rsid w:val="00B02ADA"/>
  </w:style>
  <w:style w:type="character" w:customStyle="1" w:styleId="SalutationChar">
    <w:name w:val="Salutation Char"/>
    <w:basedOn w:val="DefaultParagraphFont"/>
    <w:link w:val="Salutation"/>
    <w:uiPriority w:val="99"/>
    <w:semiHidden/>
    <w:rsid w:val="00B02ADA"/>
    <w:rPr>
      <w:snapToGrid w:val="0"/>
      <w:kern w:val="28"/>
      <w:szCs w:val="20"/>
    </w:rPr>
  </w:style>
  <w:style w:type="paragraph" w:styleId="Signature">
    <w:name w:val="Signature"/>
    <w:basedOn w:val="Normal"/>
    <w:link w:val="SignatureChar"/>
    <w:uiPriority w:val="99"/>
    <w:semiHidden/>
    <w:unhideWhenUsed/>
    <w:locked/>
    <w:rsid w:val="00B02ADA"/>
    <w:pPr>
      <w:ind w:left="4320"/>
    </w:pPr>
  </w:style>
  <w:style w:type="character" w:customStyle="1" w:styleId="SignatureChar">
    <w:name w:val="Signature Char"/>
    <w:basedOn w:val="DefaultParagraphFont"/>
    <w:link w:val="Signature"/>
    <w:uiPriority w:val="99"/>
    <w:semiHidden/>
    <w:rsid w:val="00B02ADA"/>
    <w:rPr>
      <w:snapToGrid w:val="0"/>
      <w:kern w:val="28"/>
      <w:szCs w:val="20"/>
    </w:rPr>
  </w:style>
  <w:style w:type="paragraph" w:styleId="Subtitle">
    <w:name w:val="Subtitle"/>
    <w:basedOn w:val="Normal"/>
    <w:next w:val="Normal"/>
    <w:link w:val="SubtitleChar"/>
    <w:uiPriority w:val="11"/>
    <w:qFormat/>
    <w:locked/>
    <w:rsid w:val="00B02AD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02ADA"/>
    <w:rPr>
      <w:rFonts w:asciiTheme="minorHAnsi" w:eastAsiaTheme="minorEastAsia" w:hAnsiTheme="minorHAnsi" w:cstheme="minorBidi"/>
      <w:snapToGrid w:val="0"/>
      <w:color w:val="5A5A5A" w:themeColor="text1" w:themeTint="A5"/>
      <w:spacing w:val="15"/>
      <w:kern w:val="28"/>
    </w:rPr>
  </w:style>
  <w:style w:type="paragraph" w:styleId="TableofAuthorities">
    <w:name w:val="table of authorities"/>
    <w:basedOn w:val="Normal"/>
    <w:next w:val="Normal"/>
    <w:uiPriority w:val="99"/>
    <w:semiHidden/>
    <w:unhideWhenUsed/>
    <w:locked/>
    <w:rsid w:val="00B02ADA"/>
    <w:pPr>
      <w:ind w:left="220" w:hanging="220"/>
    </w:pPr>
  </w:style>
  <w:style w:type="paragraph" w:styleId="TableofFigures">
    <w:name w:val="table of figures"/>
    <w:basedOn w:val="Normal"/>
    <w:next w:val="Normal"/>
    <w:uiPriority w:val="99"/>
    <w:semiHidden/>
    <w:unhideWhenUsed/>
    <w:locked/>
    <w:rsid w:val="00B02ADA"/>
  </w:style>
  <w:style w:type="paragraph" w:styleId="Title">
    <w:name w:val="Title"/>
    <w:basedOn w:val="Normal"/>
    <w:next w:val="Normal"/>
    <w:link w:val="TitleChar"/>
    <w:uiPriority w:val="10"/>
    <w:qFormat/>
    <w:locked/>
    <w:rsid w:val="00B02ADA"/>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2ADA"/>
    <w:rPr>
      <w:rFonts w:asciiTheme="majorHAnsi" w:eastAsiaTheme="majorEastAsia" w:hAnsiTheme="majorHAnsi" w:cstheme="majorBidi"/>
      <w:snapToGrid w:val="0"/>
      <w:spacing w:val="-10"/>
      <w:kern w:val="28"/>
      <w:sz w:val="56"/>
      <w:szCs w:val="56"/>
    </w:rPr>
  </w:style>
  <w:style w:type="paragraph" w:styleId="TOCHeading">
    <w:name w:val="TOC Heading"/>
    <w:basedOn w:val="Heading1"/>
    <w:next w:val="Normal"/>
    <w:uiPriority w:val="39"/>
    <w:semiHidden/>
    <w:unhideWhenUsed/>
    <w:qFormat/>
    <w:rsid w:val="00B02ADA"/>
    <w:pPr>
      <w:keepLines/>
      <w:numPr>
        <w:numId w:val="0"/>
      </w:numPr>
      <w:tabs>
        <w:tab w:val="left" w:pos="720"/>
      </w:tabs>
      <w:suppressAutoHyphens w:val="0"/>
      <w:spacing w:before="240" w:after="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EB-SED-Response@fcc.gov" TargetMode="External" /><Relationship Id="rId7" Type="http://schemas.openxmlformats.org/officeDocument/2006/relationships/hyperlink" Target="https://apps.fcc.gov/cores/userLogin.do" TargetMode="External" /><Relationship Id="rId8" Type="http://schemas.openxmlformats.org/officeDocument/2006/relationships/hyperlink" Target="mailto:RROGWireFaxes@fcc.gov" TargetMode="External" /><Relationship Id="rId9" Type="http://schemas.openxmlformats.org/officeDocument/2006/relationships/hyperlink" Target="https://www.fcc.gov/licensing-databases/fees/wire-transf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 Id="rId2" Type="http://schemas.openxmlformats.org/officeDocument/2006/relationships/hyperlink" Target="https://www.reuters.com/technology/chinas-dahua-technology-exit-projects-xinjiang-2024-12-23/" TargetMode="External" /><Relationship Id="rId3" Type="http://schemas.openxmlformats.org/officeDocument/2006/relationships/hyperlink" Target="https://www.dahuasecurity.com/aboutUs/contactUs" TargetMode="External" /><Relationship Id="rId4" Type="http://schemas.openxmlformats.org/officeDocument/2006/relationships/hyperlink" Target="https://docs.fcc.gov/public/attachments/DOC-410318A1.pdf" TargetMode="External" /><Relationship Id="rId5" Type="http://schemas.openxmlformats.org/officeDocument/2006/relationships/hyperlink" Target="https://www.fcc.gov/licensing-databases/fees/fcc-remittance-advice-form-159" TargetMode="External" /><Relationship Id="rId6" Type="http://schemas.openxmlformats.org/officeDocument/2006/relationships/hyperlink" Target="https://apps.fcc.gov/cores/userLogin.do" TargetMode="External" /><Relationship Id="rId7" Type="http://schemas.openxmlformats.org/officeDocument/2006/relationships/hyperlink" Target="http://www.fcc.gov/Forms/Form159/159.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